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A775CF" w14:textId="01D94D78" w:rsidR="00A36935" w:rsidRPr="00B55935" w:rsidRDefault="00A36935" w:rsidP="00A36935">
      <w:pPr>
        <w:pStyle w:val="a5"/>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#89</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R4-181</w:t>
      </w:r>
      <w:r w:rsidR="006B6EED">
        <w:rPr>
          <w:rFonts w:ascii="Calibri" w:eastAsia="新細明體" w:hAnsi="Calibri" w:cs="Arial"/>
          <w:noProof w:val="0"/>
          <w:sz w:val="24"/>
          <w:szCs w:val="24"/>
          <w:lang w:eastAsia="ja-JP"/>
        </w:rPr>
        <w:t>4894</w:t>
      </w:r>
    </w:p>
    <w:p w14:paraId="162ECE50" w14:textId="548161F6" w:rsidR="00811EEE" w:rsidRPr="00FE72F2" w:rsidRDefault="00A36935" w:rsidP="00A36935">
      <w:pPr>
        <w:tabs>
          <w:tab w:val="left" w:pos="1985"/>
        </w:tabs>
        <w:jc w:val="both"/>
        <w:rPr>
          <w:rFonts w:ascii="Calibri" w:eastAsia="新細明體" w:hAnsi="Calibri"/>
          <w:sz w:val="24"/>
        </w:rPr>
      </w:pPr>
      <w:r>
        <w:rPr>
          <w:rFonts w:ascii="Calibri" w:eastAsia="新細明體" w:hAnsi="Calibri" w:cs="Arial"/>
          <w:b/>
          <w:sz w:val="24"/>
          <w:szCs w:val="24"/>
          <w:lang w:eastAsia="ja-JP"/>
        </w:rPr>
        <w:t>Spokane</w:t>
      </w:r>
      <w:r w:rsidRPr="001800D2">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WA</w:t>
      </w:r>
      <w:r w:rsidRPr="001800D2">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US, November</w:t>
      </w:r>
      <w:r w:rsidRPr="001800D2">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12</w:t>
      </w:r>
      <w:r w:rsidRPr="005D4DEC">
        <w:rPr>
          <w:rFonts w:ascii="Calibri" w:eastAsia="新細明體" w:hAnsi="Calibri" w:cs="Arial"/>
          <w:b/>
          <w:sz w:val="24"/>
          <w:szCs w:val="24"/>
          <w:vertAlign w:val="superscript"/>
          <w:lang w:eastAsia="ja-JP"/>
        </w:rPr>
        <w:t>th</w:t>
      </w:r>
      <w:r w:rsidRPr="001800D2">
        <w:rPr>
          <w:rFonts w:ascii="Calibri" w:eastAsia="新細明體" w:hAnsi="Calibri" w:cs="Arial"/>
          <w:b/>
          <w:sz w:val="24"/>
          <w:szCs w:val="24"/>
          <w:lang w:eastAsia="ja-JP"/>
        </w:rPr>
        <w:t>–</w:t>
      </w:r>
      <w:r>
        <w:rPr>
          <w:rFonts w:ascii="Calibri" w:eastAsia="新細明體" w:hAnsi="Calibri" w:cs="Arial"/>
          <w:b/>
          <w:sz w:val="24"/>
          <w:szCs w:val="24"/>
          <w:lang w:eastAsia="ja-JP"/>
        </w:rPr>
        <w:t>16</w:t>
      </w:r>
      <w:r w:rsidRPr="005D4DEC">
        <w:rPr>
          <w:rFonts w:ascii="Calibri" w:eastAsia="新細明體" w:hAnsi="Calibri" w:cs="Arial"/>
          <w:b/>
          <w:sz w:val="24"/>
          <w:szCs w:val="24"/>
          <w:vertAlign w:val="superscript"/>
          <w:lang w:eastAsia="ja-JP"/>
        </w:rPr>
        <w:t>th</w:t>
      </w:r>
      <w:r w:rsidRPr="001800D2">
        <w:rPr>
          <w:rFonts w:ascii="Calibri" w:eastAsia="新細明體" w:hAnsi="Calibri" w:cs="Arial"/>
          <w:b/>
          <w:sz w:val="24"/>
          <w:szCs w:val="24"/>
          <w:lang w:eastAsia="ja-JP"/>
        </w:rPr>
        <w:t>, 2018</w:t>
      </w:r>
    </w:p>
    <w:p w14:paraId="1CAD8A83" w14:textId="2BB0CF93"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Pr="005D4A29">
        <w:rPr>
          <w:rFonts w:cs="Arial"/>
          <w:b/>
          <w:bCs/>
        </w:rPr>
        <w:t>7.11.</w:t>
      </w:r>
      <w:r w:rsidR="00FE72F2" w:rsidRPr="005D4A29">
        <w:rPr>
          <w:rFonts w:cs="Arial"/>
          <w:b/>
          <w:bCs/>
        </w:rPr>
        <w:t>3.1.</w:t>
      </w:r>
      <w:r w:rsidR="005D4A29" w:rsidRPr="005D4A29">
        <w:rPr>
          <w:rFonts w:cs="Arial"/>
          <w:b/>
          <w:bCs/>
        </w:rPr>
        <w:t>2</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4114F188" w:rsidR="00174EC2" w:rsidRDefault="0034111C" w:rsidP="007A4FCF">
      <w:pPr>
        <w:ind w:left="1985" w:hanging="1985"/>
        <w:rPr>
          <w:rFonts w:cs="Arial"/>
          <w:b/>
          <w:bCs/>
        </w:rPr>
      </w:pPr>
      <w:r w:rsidRPr="000C45FD">
        <w:rPr>
          <w:rFonts w:cs="Arial"/>
          <w:b/>
          <w:bCs/>
        </w:rPr>
        <w:t>Title:</w:t>
      </w:r>
      <w:r w:rsidRPr="000C45FD">
        <w:rPr>
          <w:rFonts w:cs="Arial"/>
          <w:b/>
          <w:bCs/>
        </w:rPr>
        <w:tab/>
      </w:r>
      <w:r w:rsidR="00A36935">
        <w:rPr>
          <w:rFonts w:cs="Arial"/>
          <w:b/>
          <w:bCs/>
        </w:rPr>
        <w:t>UE Behavior Before and After Measurement Gap</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77777777"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1917A111" w14:textId="71C1FF50" w:rsidR="0091441D" w:rsidRDefault="00D37828" w:rsidP="006A10B9">
      <w:pPr>
        <w:jc w:val="both"/>
      </w:pPr>
      <w:r w:rsidRPr="0020001D">
        <w:t xml:space="preserve">In the </w:t>
      </w:r>
      <w:r w:rsidR="007B0776" w:rsidRPr="0020001D">
        <w:t>RAN</w:t>
      </w:r>
      <w:r w:rsidR="00F13D37">
        <w:t xml:space="preserve">4 </w:t>
      </w:r>
      <w:r w:rsidR="007B0776">
        <w:t>#</w:t>
      </w:r>
      <w:r w:rsidR="00811EEE">
        <w:t>88</w:t>
      </w:r>
      <w:r w:rsidR="00A36935">
        <w:t>b</w:t>
      </w:r>
      <w:r w:rsidR="00811EEE">
        <w:t xml:space="preserve"> </w:t>
      </w:r>
      <w:r>
        <w:t xml:space="preserve">meeting, </w:t>
      </w:r>
      <w:r w:rsidR="00A36935">
        <w:t>there was some progress on gap starting point [</w:t>
      </w:r>
      <w:r w:rsidR="00E933B6">
        <w:t>1</w:t>
      </w:r>
      <w:r w:rsidR="00A36935">
        <w:t>], but still some open issues on UE behavior before and after gap, especially for the slot partially overlapped by gap. In this paper, we further discuss this issue together with the large TA issue in NR.</w:t>
      </w:r>
    </w:p>
    <w:p w14:paraId="3A8ACA84" w14:textId="4D36E201" w:rsidR="0091441D" w:rsidRDefault="0091441D" w:rsidP="0091441D">
      <w:pPr>
        <w:pStyle w:val="1"/>
        <w:numPr>
          <w:ilvl w:val="0"/>
          <w:numId w:val="2"/>
        </w:numPr>
        <w:rPr>
          <w:rFonts w:ascii="Calibri" w:hAnsi="Calibri"/>
        </w:rPr>
      </w:pPr>
      <w:r w:rsidRPr="0091441D">
        <w:rPr>
          <w:rFonts w:ascii="Calibri" w:hAnsi="Calibri"/>
        </w:rPr>
        <w:t>Discussion</w:t>
      </w:r>
    </w:p>
    <w:p w14:paraId="0709FFA7" w14:textId="69EE6815" w:rsidR="00E933B6" w:rsidRDefault="00E933B6" w:rsidP="00CA6BBA">
      <w:pPr>
        <w:jc w:val="both"/>
      </w:pPr>
      <w:r w:rsidRPr="00E933B6">
        <w:t xml:space="preserve">In </w:t>
      </w:r>
      <w:r>
        <w:t xml:space="preserve">last RAN4 meeting, there </w:t>
      </w:r>
      <w:r w:rsidR="00C57191">
        <w:t>was</w:t>
      </w:r>
      <w:r>
        <w:t xml:space="preserve"> no CR agreed for UE behavior </w:t>
      </w:r>
      <w:r w:rsidR="00C57191">
        <w:t>before and after gap. However, there was progress during ad-hoc meeting on the definition of slots [2], providing a good starting point for further discussions.</w:t>
      </w:r>
    </w:p>
    <w:tbl>
      <w:tblPr>
        <w:tblStyle w:val="af7"/>
        <w:tblW w:w="0" w:type="auto"/>
        <w:tblLook w:val="04A0" w:firstRow="1" w:lastRow="0" w:firstColumn="1" w:lastColumn="0" w:noHBand="0" w:noVBand="1"/>
      </w:tblPr>
      <w:tblGrid>
        <w:gridCol w:w="9629"/>
      </w:tblGrid>
      <w:tr w:rsidR="00C57191" w:rsidRPr="00C57191" w14:paraId="4D6F25E8" w14:textId="77777777" w:rsidTr="00C57191">
        <w:tc>
          <w:tcPr>
            <w:tcW w:w="9629" w:type="dxa"/>
          </w:tcPr>
          <w:p w14:paraId="555B65E1" w14:textId="77777777" w:rsidR="00C57191" w:rsidRPr="00C57191" w:rsidRDefault="00C57191" w:rsidP="00C57191">
            <w:pPr>
              <w:pStyle w:val="af5"/>
              <w:numPr>
                <w:ilvl w:val="0"/>
                <w:numId w:val="21"/>
              </w:numPr>
              <w:jc w:val="both"/>
              <w:rPr>
                <w:sz w:val="20"/>
              </w:rPr>
            </w:pPr>
            <w:r w:rsidRPr="00C57191">
              <w:rPr>
                <w:sz w:val="20"/>
              </w:rPr>
              <w:t xml:space="preserve">Slot before MG: the slot which is immediately before MG and fully non-overlapped with MG </w:t>
            </w:r>
          </w:p>
          <w:p w14:paraId="40B878FA" w14:textId="4E39EF79" w:rsidR="00C57191" w:rsidRPr="00C57191" w:rsidRDefault="00C57191" w:rsidP="00C57191">
            <w:pPr>
              <w:pStyle w:val="af5"/>
              <w:numPr>
                <w:ilvl w:val="0"/>
                <w:numId w:val="21"/>
              </w:numPr>
              <w:jc w:val="both"/>
              <w:rPr>
                <w:sz w:val="20"/>
              </w:rPr>
            </w:pPr>
            <w:r w:rsidRPr="00C57191">
              <w:rPr>
                <w:sz w:val="20"/>
              </w:rPr>
              <w:t xml:space="preserve">Slot after MG: the slot which is immediately after MG and fully non-overlapped with MG </w:t>
            </w:r>
          </w:p>
          <w:p w14:paraId="0005E9A3" w14:textId="77777777" w:rsidR="00C57191" w:rsidRPr="00C57191" w:rsidRDefault="00C57191" w:rsidP="00C57191">
            <w:pPr>
              <w:jc w:val="both"/>
              <w:rPr>
                <w:sz w:val="20"/>
              </w:rPr>
            </w:pPr>
            <w:r w:rsidRPr="00C57191">
              <w:rPr>
                <w:sz w:val="20"/>
              </w:rPr>
              <w:t>When MGTA is 0.5ms or 0.25ms</w:t>
            </w:r>
          </w:p>
          <w:p w14:paraId="7DE0CB62" w14:textId="77777777" w:rsidR="00C57191" w:rsidRPr="00C57191" w:rsidRDefault="00C57191" w:rsidP="00C57191">
            <w:pPr>
              <w:pStyle w:val="af5"/>
              <w:numPr>
                <w:ilvl w:val="0"/>
                <w:numId w:val="20"/>
              </w:numPr>
              <w:jc w:val="both"/>
              <w:rPr>
                <w:sz w:val="20"/>
              </w:rPr>
            </w:pPr>
            <w:r w:rsidRPr="00C57191">
              <w:rPr>
                <w:sz w:val="20"/>
              </w:rPr>
              <w:t>Partially overlapped slot before MG: the slot after the “slot before MG” and partially overlapped with MG</w:t>
            </w:r>
          </w:p>
          <w:p w14:paraId="256276AA" w14:textId="33E75F25" w:rsidR="00C57191" w:rsidRPr="00C57191" w:rsidRDefault="00C57191" w:rsidP="00C57191">
            <w:pPr>
              <w:pStyle w:val="af5"/>
              <w:numPr>
                <w:ilvl w:val="0"/>
                <w:numId w:val="20"/>
              </w:numPr>
              <w:jc w:val="both"/>
              <w:rPr>
                <w:sz w:val="20"/>
              </w:rPr>
            </w:pPr>
            <w:r w:rsidRPr="00C57191">
              <w:rPr>
                <w:sz w:val="20"/>
              </w:rPr>
              <w:t>Partially overlapped slot after MG: the slot before the “slot after MG” and partially overlapped with MG</w:t>
            </w:r>
          </w:p>
        </w:tc>
      </w:tr>
    </w:tbl>
    <w:p w14:paraId="4A9101DE" w14:textId="77777777" w:rsidR="00C57191" w:rsidRPr="00E933B6" w:rsidRDefault="00C57191" w:rsidP="00CA6BBA">
      <w:pPr>
        <w:jc w:val="both"/>
      </w:pPr>
    </w:p>
    <w:p w14:paraId="7693B50D" w14:textId="5C40B64F" w:rsidR="00484BCF" w:rsidRDefault="00484BCF" w:rsidP="00484BCF">
      <w:pPr>
        <w:spacing w:after="0"/>
        <w:jc w:val="both"/>
      </w:pPr>
      <w:r w:rsidRPr="00484BCF">
        <w:t xml:space="preserve">Take </w:t>
      </w:r>
      <w:r>
        <w:t xml:space="preserve">DL slots as an example of 15KHz SCS and MGL=6ms, as illustrated in </w:t>
      </w:r>
      <w:r>
        <w:fldChar w:fldCharType="begin"/>
      </w:r>
      <w:r>
        <w:instrText xml:space="preserve"> REF _Ref528444947 \h </w:instrText>
      </w:r>
      <w:r>
        <w:fldChar w:fldCharType="separate"/>
      </w:r>
      <w:r>
        <w:t xml:space="preserve">Figure </w:t>
      </w:r>
      <w:r>
        <w:rPr>
          <w:noProof/>
        </w:rPr>
        <w:t>1</w:t>
      </w:r>
      <w:r>
        <w:fldChar w:fldCharType="end"/>
      </w:r>
      <w:r>
        <w:t xml:space="preserve">. </w:t>
      </w:r>
    </w:p>
    <w:p w14:paraId="3B9A1004" w14:textId="77777777" w:rsidR="00484BCF" w:rsidRDefault="00484BCF" w:rsidP="00484BCF">
      <w:pPr>
        <w:pStyle w:val="af5"/>
        <w:numPr>
          <w:ilvl w:val="0"/>
          <w:numId w:val="22"/>
        </w:numPr>
        <w:jc w:val="both"/>
      </w:pPr>
      <w:r>
        <w:t>When T</w:t>
      </w:r>
      <w:r w:rsidRPr="00484BCF">
        <w:rPr>
          <w:vertAlign w:val="subscript"/>
        </w:rPr>
        <w:t>MG</w:t>
      </w:r>
      <w:r>
        <w:t xml:space="preserve"> = 0, </w:t>
      </w:r>
    </w:p>
    <w:p w14:paraId="53B8812B" w14:textId="77304FA2" w:rsidR="00484BCF" w:rsidRPr="00484BCF" w:rsidRDefault="00484BCF" w:rsidP="00484BCF">
      <w:pPr>
        <w:pStyle w:val="af5"/>
        <w:numPr>
          <w:ilvl w:val="1"/>
          <w:numId w:val="22"/>
        </w:numPr>
        <w:jc w:val="both"/>
      </w:pPr>
      <w:r>
        <w:t xml:space="preserve">slot #1 is the </w:t>
      </w:r>
      <w:r w:rsidR="00AC4355">
        <w:rPr>
          <w:sz w:val="20"/>
        </w:rPr>
        <w:t>s</w:t>
      </w:r>
      <w:r w:rsidRPr="00C57191">
        <w:rPr>
          <w:sz w:val="20"/>
        </w:rPr>
        <w:t>lot before MG</w:t>
      </w:r>
    </w:p>
    <w:p w14:paraId="043CBBED" w14:textId="2C6B2A9E" w:rsidR="00484BCF" w:rsidRDefault="00484BCF" w:rsidP="00484BCF">
      <w:pPr>
        <w:pStyle w:val="af5"/>
        <w:numPr>
          <w:ilvl w:val="1"/>
          <w:numId w:val="22"/>
        </w:numPr>
        <w:jc w:val="both"/>
      </w:pPr>
      <w:r>
        <w:t xml:space="preserve">slot #8 is the </w:t>
      </w:r>
      <w:r w:rsidR="00AC4355">
        <w:rPr>
          <w:sz w:val="20"/>
        </w:rPr>
        <w:t>s</w:t>
      </w:r>
      <w:r w:rsidRPr="00C57191">
        <w:rPr>
          <w:sz w:val="20"/>
        </w:rPr>
        <w:t xml:space="preserve">lot </w:t>
      </w:r>
      <w:r>
        <w:rPr>
          <w:sz w:val="20"/>
        </w:rPr>
        <w:t>after</w:t>
      </w:r>
      <w:r w:rsidRPr="00C57191">
        <w:rPr>
          <w:sz w:val="20"/>
        </w:rPr>
        <w:t xml:space="preserve"> MG</w:t>
      </w:r>
      <w:r>
        <w:t xml:space="preserve"> </w:t>
      </w:r>
    </w:p>
    <w:p w14:paraId="1DDEE4DE" w14:textId="77777777" w:rsidR="00484BCF" w:rsidRDefault="00484BCF" w:rsidP="00484BCF">
      <w:pPr>
        <w:pStyle w:val="af5"/>
        <w:numPr>
          <w:ilvl w:val="0"/>
          <w:numId w:val="22"/>
        </w:numPr>
        <w:jc w:val="both"/>
      </w:pPr>
      <w:r>
        <w:t>When T</w:t>
      </w:r>
      <w:r w:rsidRPr="00484BCF">
        <w:rPr>
          <w:vertAlign w:val="subscript"/>
        </w:rPr>
        <w:t>MG</w:t>
      </w:r>
      <w:r>
        <w:t xml:space="preserve"> = 0.5ms</w:t>
      </w:r>
    </w:p>
    <w:p w14:paraId="5F3127D6" w14:textId="492E7BF8" w:rsidR="00AC4355" w:rsidRPr="00484BCF" w:rsidRDefault="00484BCF" w:rsidP="00AC4355">
      <w:pPr>
        <w:pStyle w:val="af5"/>
        <w:numPr>
          <w:ilvl w:val="1"/>
          <w:numId w:val="22"/>
        </w:numPr>
        <w:jc w:val="both"/>
      </w:pPr>
      <w:r>
        <w:t xml:space="preserve">slot #0 is the </w:t>
      </w:r>
      <w:r w:rsidR="00AC4355">
        <w:rPr>
          <w:sz w:val="20"/>
        </w:rPr>
        <w:t>s</w:t>
      </w:r>
      <w:r w:rsidRPr="00C57191">
        <w:rPr>
          <w:sz w:val="20"/>
        </w:rPr>
        <w:t>lot before MG</w:t>
      </w:r>
      <w:r w:rsidR="00AC4355" w:rsidRPr="00AC4355">
        <w:t xml:space="preserve"> </w:t>
      </w:r>
    </w:p>
    <w:p w14:paraId="7BD22DA8" w14:textId="77777777" w:rsidR="00AC4355" w:rsidRPr="00484BCF" w:rsidRDefault="00AC4355" w:rsidP="00AC4355">
      <w:pPr>
        <w:pStyle w:val="af5"/>
        <w:numPr>
          <w:ilvl w:val="1"/>
          <w:numId w:val="22"/>
        </w:numPr>
        <w:jc w:val="both"/>
      </w:pPr>
      <w:r>
        <w:t xml:space="preserve">slot #1 is the </w:t>
      </w:r>
      <w:r>
        <w:rPr>
          <w:sz w:val="20"/>
        </w:rPr>
        <w:t>p</w:t>
      </w:r>
      <w:r w:rsidRPr="00C57191">
        <w:rPr>
          <w:sz w:val="20"/>
        </w:rPr>
        <w:t>artially overlapped slot before MG</w:t>
      </w:r>
    </w:p>
    <w:p w14:paraId="5B60D8B2" w14:textId="0F843D52" w:rsidR="00484BCF" w:rsidRPr="00484BCF" w:rsidRDefault="00484BCF" w:rsidP="00AC4355">
      <w:pPr>
        <w:pStyle w:val="af5"/>
        <w:numPr>
          <w:ilvl w:val="1"/>
          <w:numId w:val="22"/>
        </w:numPr>
        <w:jc w:val="both"/>
      </w:pPr>
      <w:r>
        <w:t xml:space="preserve">slot #8 is the </w:t>
      </w:r>
      <w:r w:rsidR="00AC4355">
        <w:rPr>
          <w:sz w:val="20"/>
        </w:rPr>
        <w:t>s</w:t>
      </w:r>
      <w:r w:rsidRPr="00C57191">
        <w:rPr>
          <w:sz w:val="20"/>
        </w:rPr>
        <w:t>lot before MG</w:t>
      </w:r>
    </w:p>
    <w:p w14:paraId="0BB785E8" w14:textId="1478BDB0" w:rsidR="00484BCF" w:rsidRDefault="00484BCF" w:rsidP="007C6E80">
      <w:pPr>
        <w:pStyle w:val="af5"/>
        <w:numPr>
          <w:ilvl w:val="1"/>
          <w:numId w:val="22"/>
        </w:numPr>
        <w:jc w:val="both"/>
      </w:pPr>
      <w:r>
        <w:t xml:space="preserve">slot #7 is the </w:t>
      </w:r>
      <w:r w:rsidRPr="00AC4355">
        <w:rPr>
          <w:sz w:val="20"/>
        </w:rPr>
        <w:t>partially overlapped slot after MG</w:t>
      </w:r>
    </w:p>
    <w:p w14:paraId="1A98CFE1" w14:textId="09E465C5" w:rsidR="00484BCF" w:rsidRPr="00484BCF" w:rsidRDefault="00AC4355" w:rsidP="00484BCF">
      <w:pPr>
        <w:jc w:val="center"/>
      </w:pPr>
      <w:r w:rsidRPr="00AC4355">
        <w:rPr>
          <w:noProof/>
        </w:rPr>
        <w:drawing>
          <wp:inline distT="0" distB="0" distL="0" distR="0" wp14:anchorId="1241E368" wp14:editId="2993E7A4">
            <wp:extent cx="4916220" cy="1604962"/>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46367" cy="1614804"/>
                    </a:xfrm>
                    <a:prstGeom prst="rect">
                      <a:avLst/>
                    </a:prstGeom>
                    <a:noFill/>
                    <a:ln>
                      <a:noFill/>
                    </a:ln>
                  </pic:spPr>
                </pic:pic>
              </a:graphicData>
            </a:graphic>
          </wp:inline>
        </w:drawing>
      </w:r>
    </w:p>
    <w:p w14:paraId="7CC29395" w14:textId="3FF6CFE2" w:rsidR="00484BCF" w:rsidRPr="00DE0683" w:rsidRDefault="00484BCF" w:rsidP="00484BCF">
      <w:pPr>
        <w:pStyle w:val="af1"/>
        <w:jc w:val="center"/>
        <w:rPr>
          <w:b w:val="0"/>
          <w:u w:val="single"/>
          <w:lang w:val="en-US"/>
        </w:rPr>
      </w:pPr>
      <w:bookmarkStart w:id="0" w:name="_Ref528444947"/>
      <w:r>
        <w:t xml:space="preserve">Figure </w:t>
      </w:r>
      <w:r w:rsidR="009B68DC">
        <w:fldChar w:fldCharType="begin"/>
      </w:r>
      <w:r w:rsidR="009B68DC">
        <w:instrText xml:space="preserve"> SEQ Figure \* ARABIC </w:instrText>
      </w:r>
      <w:r w:rsidR="009B68DC">
        <w:fldChar w:fldCharType="separate"/>
      </w:r>
      <w:r w:rsidR="00DE0683">
        <w:rPr>
          <w:noProof/>
        </w:rPr>
        <w:t>1</w:t>
      </w:r>
      <w:r w:rsidR="009B68DC">
        <w:rPr>
          <w:noProof/>
        </w:rPr>
        <w:fldChar w:fldCharType="end"/>
      </w:r>
      <w:bookmarkEnd w:id="0"/>
      <w:r>
        <w:rPr>
          <w:lang w:val="en-US"/>
        </w:rPr>
        <w:t xml:space="preserve">. Examples for </w:t>
      </w:r>
      <w:r w:rsidRPr="00C57191">
        <w:t>Slot before</w:t>
      </w:r>
      <w:r>
        <w:rPr>
          <w:lang w:val="en-US"/>
        </w:rPr>
        <w:t>/after</w:t>
      </w:r>
      <w:r w:rsidRPr="00C57191">
        <w:t xml:space="preserve"> MG</w:t>
      </w:r>
      <w:r w:rsidR="00627136">
        <w:rPr>
          <w:lang w:val="en-US"/>
        </w:rPr>
        <w:t xml:space="preserve"> and </w:t>
      </w:r>
      <w:r w:rsidR="00627136" w:rsidRPr="00C57191">
        <w:t>partially</w:t>
      </w:r>
      <w:r w:rsidRPr="00C57191">
        <w:t xml:space="preserve"> overlapped slot before</w:t>
      </w:r>
      <w:r>
        <w:rPr>
          <w:lang w:val="en-US"/>
        </w:rPr>
        <w:t>/after</w:t>
      </w:r>
      <w:r w:rsidRPr="00C57191">
        <w:t xml:space="preserve"> MG</w:t>
      </w:r>
    </w:p>
    <w:p w14:paraId="4FA4B303" w14:textId="5FC4201C" w:rsidR="00484BCF" w:rsidRDefault="00627136" w:rsidP="00CA6BBA">
      <w:pPr>
        <w:jc w:val="both"/>
      </w:pPr>
      <w:r w:rsidRPr="00627136">
        <w:lastRenderedPageBreak/>
        <w:t xml:space="preserve">There </w:t>
      </w:r>
      <w:r>
        <w:t xml:space="preserve">were some discussions on whether to allow partial slot scheduling for those partially overlapped slot. Theoretically it is possible to use those half DL slots at least according to the current RAN1 design. But this </w:t>
      </w:r>
      <w:r w:rsidR="003176FD">
        <w:t>is going to change the current UE implementation according</w:t>
      </w:r>
      <w:r>
        <w:t xml:space="preserve"> to RAN4’s previous agreement made in AH1801 meeting [3]:</w:t>
      </w:r>
    </w:p>
    <w:tbl>
      <w:tblPr>
        <w:tblStyle w:val="af7"/>
        <w:tblW w:w="0" w:type="auto"/>
        <w:tblLook w:val="04A0" w:firstRow="1" w:lastRow="0" w:firstColumn="1" w:lastColumn="0" w:noHBand="0" w:noVBand="1"/>
      </w:tblPr>
      <w:tblGrid>
        <w:gridCol w:w="9629"/>
      </w:tblGrid>
      <w:tr w:rsidR="00627136" w14:paraId="63B7E260" w14:textId="77777777" w:rsidTr="00627136">
        <w:tc>
          <w:tcPr>
            <w:tcW w:w="9629" w:type="dxa"/>
          </w:tcPr>
          <w:p w14:paraId="3ED09A2F" w14:textId="2D8255E0" w:rsidR="00627136" w:rsidRDefault="00627136" w:rsidP="00627136">
            <w:pPr>
              <w:numPr>
                <w:ilvl w:val="0"/>
                <w:numId w:val="23"/>
              </w:numPr>
              <w:spacing w:after="120" w:line="240" w:lineRule="auto"/>
              <w:jc w:val="both"/>
            </w:pPr>
            <w:r w:rsidRPr="00627136">
              <w:t>UE is not expected to transmit PUCCH/PUSCH or receive PDCCH/PDSCH on serving cell(s) in slot(s) partially overlapping with MG as well as in slot(s) fully overlapping with MG</w:t>
            </w:r>
          </w:p>
        </w:tc>
      </w:tr>
    </w:tbl>
    <w:p w14:paraId="3AB9B3AE" w14:textId="77777777" w:rsidR="00627136" w:rsidRDefault="00627136" w:rsidP="00CA6BBA">
      <w:pPr>
        <w:jc w:val="both"/>
      </w:pPr>
    </w:p>
    <w:p w14:paraId="2625F265" w14:textId="61624156" w:rsidR="00627136" w:rsidRPr="00627136" w:rsidRDefault="00627136" w:rsidP="00CA6BBA">
      <w:pPr>
        <w:jc w:val="both"/>
      </w:pPr>
      <w:r>
        <w:t>Since this issue c</w:t>
      </w:r>
      <w:r w:rsidR="00026808">
        <w:t>a</w:t>
      </w:r>
      <w:r>
        <w:t xml:space="preserve">me late in this very end to close Rel-15 requirements, we suggest to keep the previous RAN4 agreements. The scheduling of those partially </w:t>
      </w:r>
      <w:r w:rsidR="00980EBA">
        <w:t xml:space="preserve">overlapped </w:t>
      </w:r>
      <w:r>
        <w:t>slot</w:t>
      </w:r>
      <w:r w:rsidR="00980EBA">
        <w:t>s</w:t>
      </w:r>
      <w:r>
        <w:t xml:space="preserve"> can be further discussed as the enhancement in later releases.</w:t>
      </w:r>
    </w:p>
    <w:p w14:paraId="026B0D1E" w14:textId="18D4EE59" w:rsidR="00627136" w:rsidRPr="00026808" w:rsidRDefault="00026808" w:rsidP="00026808">
      <w:pPr>
        <w:pStyle w:val="af1"/>
        <w:rPr>
          <w:lang w:val="en-US"/>
        </w:rPr>
      </w:pPr>
      <w:bookmarkStart w:id="1" w:name="_Ref528519314"/>
      <w:r>
        <w:t xml:space="preserve">Proposal </w:t>
      </w:r>
      <w:r w:rsidR="009B68DC">
        <w:fldChar w:fldCharType="begin"/>
      </w:r>
      <w:r w:rsidR="009B68DC">
        <w:instrText xml:space="preserve"> SEQ Proposal \* ARABIC </w:instrText>
      </w:r>
      <w:r w:rsidR="009B68DC">
        <w:fldChar w:fldCharType="separate"/>
      </w:r>
      <w:r>
        <w:rPr>
          <w:noProof/>
        </w:rPr>
        <w:t>1</w:t>
      </w:r>
      <w:r w:rsidR="009B68DC">
        <w:rPr>
          <w:noProof/>
        </w:rPr>
        <w:fldChar w:fldCharType="end"/>
      </w:r>
      <w:r>
        <w:rPr>
          <w:lang w:val="en-US"/>
        </w:rPr>
        <w:t xml:space="preserve">: </w:t>
      </w:r>
      <w:r w:rsidRPr="00627136">
        <w:rPr>
          <w:lang w:val="en-US" w:eastAsia="zh-TW"/>
        </w:rPr>
        <w:t>UE is not expected to receive PDCCH/PDSCH in slot(s) partially overlapping with MG</w:t>
      </w:r>
      <w:r>
        <w:rPr>
          <w:lang w:val="en-US" w:eastAsia="zh-TW"/>
        </w:rPr>
        <w:t xml:space="preserve"> in Rel-15.</w:t>
      </w:r>
      <w:bookmarkEnd w:id="1"/>
    </w:p>
    <w:p w14:paraId="5FE2D797" w14:textId="77777777" w:rsidR="00627136" w:rsidRDefault="00627136" w:rsidP="00CA6BBA">
      <w:pPr>
        <w:jc w:val="both"/>
      </w:pPr>
    </w:p>
    <w:p w14:paraId="65022A84" w14:textId="0210C125" w:rsidR="00CA6BBA" w:rsidRDefault="00026808" w:rsidP="00CA6BBA">
      <w:pPr>
        <w:jc w:val="both"/>
      </w:pPr>
      <w:r>
        <w:t xml:space="preserve">When consider UL slots, the situation gets more complicated because TA will make the boundary of UL slot not aligned with MG. </w:t>
      </w:r>
      <w:r w:rsidR="00CA6BBA" w:rsidRPr="005C4281">
        <w:t xml:space="preserve">In </w:t>
      </w:r>
      <w:r w:rsidR="003176FD">
        <w:t xml:space="preserve">TS </w:t>
      </w:r>
      <w:r w:rsidR="00CA6BBA" w:rsidRPr="005C4281">
        <w:t xml:space="preserve">38.213, </w:t>
      </w:r>
      <w:r w:rsidR="00CA6BBA">
        <w:t xml:space="preserve">it specifies the max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00CA6BBA">
        <w:t xml:space="preserve"> value</w:t>
      </w:r>
      <w:r>
        <w:t xml:space="preserve"> for random access</w:t>
      </w:r>
      <w:r w:rsidR="00CA6BBA">
        <w:t xml:space="preserve"> could be up to </w:t>
      </w:r>
    </w:p>
    <w:p w14:paraId="1F25EA3D" w14:textId="77777777" w:rsidR="00CA6BBA" w:rsidRDefault="002949DB" w:rsidP="00CA6BBA">
      <w:pPr>
        <w:ind w:firstLine="284"/>
        <w:jc w:val="center"/>
      </w:pPr>
      <m:oMathPara>
        <m:oMath>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=3846*16*</m:t>
          </m:r>
          <m:f>
            <m:fPr>
              <m:ctrlPr>
                <w:rPr>
                  <w:rFonts w:ascii="Cambria Math" w:hAnsi="Cambria Math"/>
                  <w:i/>
                </w:rPr>
              </m:ctrlPr>
            </m:fPr>
            <m:num>
              <m:r>
                <w:rPr>
                  <w:rFonts w:ascii="Cambria Math" w:hAnsi="Cambria Math"/>
                </w:rPr>
                <m:t>64</m:t>
              </m:r>
            </m:num>
            <m:den>
              <m:sSup>
                <m:sSupPr>
                  <m:ctrlPr>
                    <w:rPr>
                      <w:rFonts w:ascii="Cambria Math" w:hAnsi="Cambria Math"/>
                      <w:i/>
                    </w:rPr>
                  </m:ctrlPr>
                </m:sSupPr>
                <m:e>
                  <m:r>
                    <w:rPr>
                      <w:rFonts w:ascii="Cambria Math" w:hAnsi="Cambria Math"/>
                    </w:rPr>
                    <m:t>2</m:t>
                  </m:r>
                </m:e>
                <m:sup>
                  <m:r>
                    <w:rPr>
                      <w:rFonts w:ascii="Cambria Math" w:hAnsi="Cambria Math"/>
                    </w:rPr>
                    <m:t>u</m:t>
                  </m:r>
                </m:sup>
              </m:sSup>
            </m:den>
          </m:f>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r>
            <w:rPr>
              <w:rFonts w:ascii="Cambria Math" w:hAnsi="Cambria Math"/>
              <w:highlight w:val="yellow"/>
            </w:rPr>
            <m:t>3846</m:t>
          </m:r>
          <m:r>
            <w:rPr>
              <w:rFonts w:ascii="Cambria Math" w:hAnsi="Cambria Math"/>
            </w:rPr>
            <m:t>*16*</m:t>
          </m:r>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≈2slots</m:t>
          </m:r>
        </m:oMath>
      </m:oMathPara>
    </w:p>
    <w:tbl>
      <w:tblPr>
        <w:tblStyle w:val="af7"/>
        <w:tblW w:w="0" w:type="auto"/>
        <w:tblLook w:val="04A0" w:firstRow="1" w:lastRow="0" w:firstColumn="1" w:lastColumn="0" w:noHBand="0" w:noVBand="1"/>
      </w:tblPr>
      <w:tblGrid>
        <w:gridCol w:w="9629"/>
      </w:tblGrid>
      <w:tr w:rsidR="00CA6BBA" w14:paraId="6BD53800" w14:textId="77777777" w:rsidTr="00325C58">
        <w:tc>
          <w:tcPr>
            <w:tcW w:w="9629" w:type="dxa"/>
          </w:tcPr>
          <w:p w14:paraId="0C97E94D" w14:textId="77777777" w:rsidR="00CA6BBA" w:rsidRPr="00F30E12" w:rsidRDefault="00CA6BBA" w:rsidP="00325C58">
            <w:pPr>
              <w:rPr>
                <w:rFonts w:eastAsia="MS Mincho"/>
                <w:sz w:val="18"/>
              </w:rPr>
            </w:pPr>
            <w:r w:rsidRPr="00F30E12">
              <w:rPr>
                <w:rFonts w:hint="eastAsia"/>
                <w:sz w:val="18"/>
              </w:rPr>
              <w:t xml:space="preserve">In case of random access response, </w:t>
            </w:r>
            <w:r w:rsidRPr="00F30E12">
              <w:rPr>
                <w:sz w:val="18"/>
              </w:rPr>
              <w:t xml:space="preserve">a </w:t>
            </w:r>
            <w:r w:rsidRPr="00F30E12">
              <w:rPr>
                <w:rFonts w:hint="eastAsia"/>
                <w:sz w:val="18"/>
              </w:rPr>
              <w:t xml:space="preserve">timing advance command </w:t>
            </w:r>
            <w:r w:rsidRPr="00F30E12">
              <w:rPr>
                <w:sz w:val="18"/>
              </w:rPr>
              <w:t>[11, TS 38.321]</w:t>
            </w:r>
            <w:r w:rsidRPr="00F30E12">
              <w:rPr>
                <w:rFonts w:hint="eastAsia"/>
                <w:sz w:val="18"/>
              </w:rPr>
              <w:t xml:space="preserve">, </w:t>
            </w:r>
            <w:r w:rsidRPr="00F30E12">
              <w:rPr>
                <w:position w:val="-10"/>
                <w:sz w:val="18"/>
              </w:rPr>
              <w:object w:dxaOrig="260" w:dyaOrig="300" w14:anchorId="46BC2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5pt;height:15.55pt" o:ole="">
                  <v:imagedata r:id="rId9" o:title=""/>
                </v:shape>
                <o:OLEObject Type="Embed" ProgID="Equation.3" ShapeID="_x0000_i1025" DrawAspect="Content" ObjectID="_1602678906" r:id="rId10"/>
              </w:object>
            </w:r>
            <w:r w:rsidRPr="00F30E12">
              <w:rPr>
                <w:rFonts w:hint="eastAsia"/>
                <w:sz w:val="18"/>
              </w:rPr>
              <w:t xml:space="preserve">, </w:t>
            </w:r>
            <w:r w:rsidRPr="00F30E12">
              <w:rPr>
                <w:sz w:val="18"/>
              </w:rPr>
              <w:t>for a TAG</w:t>
            </w:r>
            <w:r w:rsidRPr="00F30E12">
              <w:rPr>
                <w:rFonts w:hint="eastAsia"/>
                <w:sz w:val="18"/>
              </w:rPr>
              <w:t xml:space="preserve"> indicates </w:t>
            </w:r>
            <w:r w:rsidRPr="00F30E12">
              <w:rPr>
                <w:position w:val="-10"/>
                <w:sz w:val="18"/>
              </w:rPr>
              <w:object w:dxaOrig="400" w:dyaOrig="300" w14:anchorId="3B93D3E1">
                <v:shape id="_x0000_i1026" type="#_x0000_t75" style="width:19.75pt;height:15.55pt" o:ole="">
                  <v:imagedata r:id="rId11" o:title=""/>
                </v:shape>
                <o:OLEObject Type="Embed" ProgID="Equation.3" ShapeID="_x0000_i1026" DrawAspect="Content" ObjectID="_1602678907" r:id="rId12"/>
              </w:object>
            </w:r>
            <w:r w:rsidRPr="00F30E12">
              <w:rPr>
                <w:rFonts w:hint="eastAsia"/>
                <w:i/>
                <w:sz w:val="18"/>
              </w:rPr>
              <w:t xml:space="preserve"> </w:t>
            </w:r>
            <w:r w:rsidRPr="00F30E12">
              <w:rPr>
                <w:rFonts w:hint="eastAsia"/>
                <w:sz w:val="18"/>
              </w:rPr>
              <w:t xml:space="preserve">values by index values of </w:t>
            </w:r>
            <w:r w:rsidRPr="00F30E12">
              <w:rPr>
                <w:position w:val="-10"/>
                <w:sz w:val="18"/>
              </w:rPr>
              <w:object w:dxaOrig="260" w:dyaOrig="300" w14:anchorId="313432A9">
                <v:shape id="_x0000_i1027" type="#_x0000_t75" style="width:12.35pt;height:15.55pt" o:ole="">
                  <v:imagedata r:id="rId13" o:title=""/>
                </v:shape>
                <o:OLEObject Type="Embed" ProgID="Equation.3" ShapeID="_x0000_i1027" DrawAspect="Content" ObjectID="_1602678908" r:id="rId14"/>
              </w:object>
            </w:r>
            <w:r w:rsidRPr="00F30E12">
              <w:rPr>
                <w:rFonts w:hint="eastAsia"/>
                <w:sz w:val="18"/>
              </w:rPr>
              <w:t xml:space="preserve"> = 0, 1, 2, ..., </w:t>
            </w:r>
            <w:r w:rsidRPr="00026808">
              <w:rPr>
                <w:sz w:val="18"/>
                <w:highlight w:val="yellow"/>
              </w:rPr>
              <w:t>3846</w:t>
            </w:r>
            <w:r w:rsidRPr="00F30E12">
              <w:rPr>
                <w:rFonts w:hint="eastAsia"/>
                <w:sz w:val="18"/>
              </w:rPr>
              <w:t>, where a</w:t>
            </w:r>
            <w:r w:rsidRPr="00F30E12">
              <w:rPr>
                <w:sz w:val="18"/>
              </w:rPr>
              <w:t>n</w:t>
            </w:r>
            <w:r w:rsidRPr="00F30E12">
              <w:rPr>
                <w:rFonts w:hint="eastAsia"/>
                <w:sz w:val="18"/>
              </w:rPr>
              <w:t xml:space="preserve"> amount of the time alignment</w:t>
            </w:r>
            <w:r w:rsidRPr="00F30E12">
              <w:rPr>
                <w:sz w:val="18"/>
              </w:rPr>
              <w:t xml:space="preserve"> for the TAG</w:t>
            </w:r>
            <w:r w:rsidRPr="00F30E12">
              <w:rPr>
                <w:rFonts w:hint="eastAsia"/>
                <w:sz w:val="18"/>
              </w:rPr>
              <w:t xml:space="preserve"> </w:t>
            </w:r>
            <w:r w:rsidRPr="00F30E12">
              <w:rPr>
                <w:sz w:val="18"/>
              </w:rPr>
              <w:t xml:space="preserve">for subcarrier spacing of </w:t>
            </w:r>
            <w:r w:rsidRPr="00F30E12">
              <w:rPr>
                <w:position w:val="-6"/>
                <w:sz w:val="18"/>
              </w:rPr>
              <w:object w:dxaOrig="560" w:dyaOrig="300" w14:anchorId="3A8841A8">
                <v:shape id="_x0000_i1028" type="#_x0000_t75" style="width:28.95pt;height:15.55pt" o:ole="">
                  <v:imagedata r:id="rId15" o:title=""/>
                </v:shape>
                <o:OLEObject Type="Embed" ProgID="Equation.3" ShapeID="_x0000_i1028" DrawAspect="Content" ObjectID="_1602678909" r:id="rId16"/>
              </w:object>
            </w:r>
            <w:r w:rsidRPr="00F30E12">
              <w:rPr>
                <w:sz w:val="18"/>
              </w:rPr>
              <w:t xml:space="preserve"> kHz</w:t>
            </w:r>
            <w:r w:rsidRPr="00F30E12">
              <w:rPr>
                <w:rFonts w:hint="eastAsia"/>
                <w:sz w:val="18"/>
              </w:rPr>
              <w:t xml:space="preserve"> is given by </w:t>
            </w:r>
            <w:r w:rsidRPr="00F30E12">
              <w:rPr>
                <w:position w:val="-10"/>
                <w:sz w:val="18"/>
              </w:rPr>
              <w:object w:dxaOrig="1719" w:dyaOrig="340" w14:anchorId="184B8FB8">
                <v:shape id="_x0000_i1029" type="#_x0000_t75" style="width:84pt;height:16.95pt" o:ole="">
                  <v:imagedata r:id="rId17" o:title=""/>
                </v:shape>
                <o:OLEObject Type="Embed" ProgID="Equation.3" ShapeID="_x0000_i1029" DrawAspect="Content" ObjectID="_1602678910" r:id="rId18"/>
              </w:object>
            </w:r>
            <w:r w:rsidRPr="00F30E12">
              <w:rPr>
                <w:rFonts w:hint="eastAsia"/>
                <w:sz w:val="18"/>
              </w:rPr>
              <w:t xml:space="preserve">. </w:t>
            </w:r>
            <w:r w:rsidRPr="00F30E12">
              <w:rPr>
                <w:position w:val="-10"/>
                <w:sz w:val="18"/>
              </w:rPr>
              <w:object w:dxaOrig="400" w:dyaOrig="300" w14:anchorId="25D53679">
                <v:shape id="_x0000_i1030" type="#_x0000_t75" style="width:19.75pt;height:15.55pt" o:ole="">
                  <v:imagedata r:id="rId11" o:title=""/>
                </v:shape>
                <o:OLEObject Type="Embed" ProgID="Equation.3" ShapeID="_x0000_i1030" DrawAspect="Content" ObjectID="_1602678911" r:id="rId19"/>
              </w:object>
            </w:r>
            <w:r w:rsidRPr="00F30E12">
              <w:rPr>
                <w:rFonts w:eastAsia="MS Mincho" w:hint="eastAsia"/>
                <w:i/>
                <w:sz w:val="18"/>
                <w:vertAlign w:val="subscript"/>
              </w:rPr>
              <w:t xml:space="preserve"> </w:t>
            </w:r>
            <w:r w:rsidRPr="00F30E12">
              <w:rPr>
                <w:rFonts w:eastAsia="MS Mincho" w:hint="eastAsia"/>
                <w:sz w:val="18"/>
              </w:rPr>
              <w:t xml:space="preserve">is defined in </w:t>
            </w:r>
            <w:r w:rsidRPr="00F30E12">
              <w:rPr>
                <w:sz w:val="18"/>
              </w:rPr>
              <w:t>[4, TS 38.211</w:t>
            </w:r>
            <w:r w:rsidRPr="00F30E12">
              <w:rPr>
                <w:rFonts w:eastAsia="MS Mincho" w:hint="eastAsia"/>
                <w:sz w:val="18"/>
              </w:rPr>
              <w:t>]</w:t>
            </w:r>
            <w:r w:rsidRPr="00F30E12">
              <w:rPr>
                <w:rFonts w:eastAsia="MS Mincho"/>
                <w:sz w:val="18"/>
              </w:rPr>
              <w:t xml:space="preserve"> and is relative to the subcarrier spacing of the first uplink transmission from the UE after the reception of the random access response</w:t>
            </w:r>
            <w:r w:rsidRPr="00F30E12">
              <w:rPr>
                <w:rFonts w:eastAsia="MS Mincho" w:hint="eastAsia"/>
                <w:sz w:val="18"/>
              </w:rPr>
              <w:t>.</w:t>
            </w:r>
          </w:p>
          <w:p w14:paraId="3ADDD8DC" w14:textId="77777777" w:rsidR="00CA6BBA" w:rsidRDefault="00CA6BBA" w:rsidP="00325C58">
            <w:pPr>
              <w:jc w:val="both"/>
            </w:pPr>
            <w:r w:rsidRPr="00F30E12">
              <w:rPr>
                <w:rFonts w:hint="eastAsia"/>
                <w:sz w:val="18"/>
              </w:rPr>
              <w:t>In other cases,</w:t>
            </w:r>
            <w:r w:rsidRPr="00F30E12">
              <w:rPr>
                <w:sz w:val="18"/>
              </w:rPr>
              <w:t xml:space="preserve"> a</w:t>
            </w:r>
            <w:r w:rsidRPr="00F30E12">
              <w:rPr>
                <w:rFonts w:hint="eastAsia"/>
                <w:sz w:val="18"/>
              </w:rPr>
              <w:t xml:space="preserve"> timing advance command </w:t>
            </w:r>
            <w:r w:rsidRPr="00F30E12">
              <w:rPr>
                <w:sz w:val="18"/>
              </w:rPr>
              <w:t>[11, TS 38.321]</w:t>
            </w:r>
            <w:r w:rsidRPr="00F30E12">
              <w:rPr>
                <w:rFonts w:hint="eastAsia"/>
                <w:sz w:val="18"/>
              </w:rPr>
              <w:t xml:space="preserve">, </w:t>
            </w:r>
            <w:r w:rsidRPr="00F30E12">
              <w:rPr>
                <w:position w:val="-10"/>
                <w:sz w:val="18"/>
              </w:rPr>
              <w:object w:dxaOrig="260" w:dyaOrig="300" w14:anchorId="7F97955F">
                <v:shape id="_x0000_i1031" type="#_x0000_t75" style="width:12.35pt;height:15.55pt" o:ole="">
                  <v:imagedata r:id="rId13" o:title=""/>
                </v:shape>
                <o:OLEObject Type="Embed" ProgID="Equation.3" ShapeID="_x0000_i1031" DrawAspect="Content" ObjectID="_1602678912" r:id="rId20"/>
              </w:object>
            </w:r>
            <w:r w:rsidRPr="00F30E12">
              <w:rPr>
                <w:rFonts w:hint="eastAsia"/>
                <w:sz w:val="18"/>
              </w:rPr>
              <w:t xml:space="preserve">, </w:t>
            </w:r>
            <w:r w:rsidRPr="00F30E12">
              <w:rPr>
                <w:sz w:val="18"/>
              </w:rPr>
              <w:t>for a TAG</w:t>
            </w:r>
            <w:r w:rsidRPr="00F30E12">
              <w:rPr>
                <w:rFonts w:hint="eastAsia"/>
                <w:sz w:val="18"/>
              </w:rPr>
              <w:t xml:space="preserve"> indicates </w:t>
            </w:r>
            <w:r w:rsidRPr="00F30E12">
              <w:rPr>
                <w:rFonts w:eastAsia="MS Mincho" w:hint="eastAsia"/>
                <w:sz w:val="18"/>
              </w:rPr>
              <w:t>adjustment of</w:t>
            </w:r>
            <w:r w:rsidRPr="00F30E12">
              <w:rPr>
                <w:rFonts w:hint="eastAsia"/>
                <w:sz w:val="18"/>
              </w:rPr>
              <w:t xml:space="preserve"> the current</w:t>
            </w:r>
            <w:r w:rsidRPr="00F30E12">
              <w:rPr>
                <w:rFonts w:eastAsia="MS Mincho" w:hint="eastAsia"/>
                <w:sz w:val="18"/>
              </w:rPr>
              <w:t xml:space="preserve"> </w:t>
            </w:r>
            <w:r w:rsidRPr="00F30E12">
              <w:rPr>
                <w:position w:val="-10"/>
                <w:sz w:val="18"/>
              </w:rPr>
              <w:object w:dxaOrig="400" w:dyaOrig="300" w14:anchorId="754A6069">
                <v:shape id="_x0000_i1032" type="#_x0000_t75" style="width:19.75pt;height:15.55pt" o:ole="">
                  <v:imagedata r:id="rId11" o:title=""/>
                </v:shape>
                <o:OLEObject Type="Embed" ProgID="Equation.3" ShapeID="_x0000_i1032" DrawAspect="Content" ObjectID="_1602678913" r:id="rId21"/>
              </w:object>
            </w:r>
            <w:r w:rsidRPr="00F30E12">
              <w:rPr>
                <w:rFonts w:hint="eastAsia"/>
                <w:i/>
                <w:sz w:val="18"/>
              </w:rPr>
              <w:t xml:space="preserve"> </w:t>
            </w:r>
            <w:r w:rsidRPr="00F30E12">
              <w:rPr>
                <w:rFonts w:hint="eastAsia"/>
                <w:sz w:val="18"/>
              </w:rPr>
              <w:t xml:space="preserve">value, </w:t>
            </w:r>
            <w:r w:rsidRPr="00F30E12">
              <w:rPr>
                <w:position w:val="-12"/>
                <w:sz w:val="18"/>
              </w:rPr>
              <w:object w:dxaOrig="620" w:dyaOrig="320" w14:anchorId="41618292">
                <v:shape id="_x0000_i1033" type="#_x0000_t75" style="width:30pt;height:16.25pt" o:ole="">
                  <v:imagedata r:id="rId22" o:title=""/>
                </v:shape>
                <o:OLEObject Type="Embed" ProgID="Equation.3" ShapeID="_x0000_i1033" DrawAspect="Content" ObjectID="_1602678914" r:id="rId23"/>
              </w:object>
            </w:r>
            <w:r w:rsidRPr="00F30E12">
              <w:rPr>
                <w:rFonts w:hint="eastAsia"/>
                <w:sz w:val="18"/>
              </w:rPr>
              <w:t xml:space="preserve">, to the new </w:t>
            </w:r>
            <w:r w:rsidRPr="00F30E12">
              <w:rPr>
                <w:position w:val="-10"/>
                <w:sz w:val="18"/>
              </w:rPr>
              <w:object w:dxaOrig="400" w:dyaOrig="300" w14:anchorId="54DB0091">
                <v:shape id="_x0000_i1034" type="#_x0000_t75" style="width:19.75pt;height:15.55pt" o:ole="">
                  <v:imagedata r:id="rId11" o:title=""/>
                </v:shape>
                <o:OLEObject Type="Embed" ProgID="Equation.3" ShapeID="_x0000_i1034" DrawAspect="Content" ObjectID="_1602678915" r:id="rId24"/>
              </w:object>
            </w:r>
            <w:r w:rsidRPr="00F30E12">
              <w:rPr>
                <w:rFonts w:hint="eastAsia"/>
                <w:i/>
                <w:sz w:val="18"/>
              </w:rPr>
              <w:t xml:space="preserve"> </w:t>
            </w:r>
            <w:r w:rsidRPr="00F30E12">
              <w:rPr>
                <w:rFonts w:hint="eastAsia"/>
                <w:sz w:val="18"/>
              </w:rPr>
              <w:t xml:space="preserve">value, </w:t>
            </w:r>
            <w:r w:rsidRPr="00F30E12">
              <w:rPr>
                <w:position w:val="-12"/>
                <w:sz w:val="18"/>
              </w:rPr>
              <w:object w:dxaOrig="660" w:dyaOrig="320" w14:anchorId="70B1993C">
                <v:shape id="_x0000_i1035" type="#_x0000_t75" style="width:32.1pt;height:16.25pt" o:ole="">
                  <v:imagedata r:id="rId25" o:title=""/>
                </v:shape>
                <o:OLEObject Type="Embed" ProgID="Equation.3" ShapeID="_x0000_i1035" DrawAspect="Content" ObjectID="_1602678916" r:id="rId26"/>
              </w:object>
            </w:r>
            <w:r w:rsidRPr="00F30E12">
              <w:rPr>
                <w:rFonts w:hint="eastAsia"/>
                <w:sz w:val="18"/>
              </w:rPr>
              <w:t>,</w:t>
            </w:r>
            <w:r w:rsidRPr="00F30E12">
              <w:rPr>
                <w:rFonts w:eastAsia="MS Mincho" w:hint="eastAsia"/>
                <w:sz w:val="18"/>
              </w:rPr>
              <w:t xml:space="preserve"> by</w:t>
            </w:r>
            <w:r w:rsidRPr="00F30E12">
              <w:rPr>
                <w:rFonts w:hint="eastAsia"/>
                <w:sz w:val="18"/>
              </w:rPr>
              <w:t xml:space="preserve"> index values of </w:t>
            </w:r>
            <w:r w:rsidRPr="00F30E12">
              <w:rPr>
                <w:position w:val="-10"/>
                <w:sz w:val="18"/>
              </w:rPr>
              <w:object w:dxaOrig="260" w:dyaOrig="300" w14:anchorId="6850757A">
                <v:shape id="_x0000_i1036" type="#_x0000_t75" style="width:12.35pt;height:15.55pt" o:ole="">
                  <v:imagedata r:id="rId13" o:title=""/>
                </v:shape>
                <o:OLEObject Type="Embed" ProgID="Equation.3" ShapeID="_x0000_i1036" DrawAspect="Content" ObjectID="_1602678917" r:id="rId27"/>
              </w:object>
            </w:r>
            <w:r w:rsidRPr="00F30E12">
              <w:rPr>
                <w:rFonts w:hint="eastAsia"/>
                <w:sz w:val="18"/>
              </w:rPr>
              <w:t xml:space="preserve"> = 0, 1, 2,..., </w:t>
            </w:r>
            <w:r w:rsidRPr="00F30E12">
              <w:rPr>
                <w:sz w:val="18"/>
              </w:rPr>
              <w:t>63</w:t>
            </w:r>
            <w:r w:rsidRPr="00F30E12">
              <w:rPr>
                <w:rFonts w:hint="eastAsia"/>
                <w:sz w:val="18"/>
              </w:rPr>
              <w:t>, where</w:t>
            </w:r>
            <w:r w:rsidRPr="00F30E12">
              <w:rPr>
                <w:sz w:val="18"/>
              </w:rPr>
              <w:t xml:space="preserve"> for a </w:t>
            </w:r>
            <w:r w:rsidRPr="00F30E12">
              <w:rPr>
                <w:rFonts w:eastAsia="MS Mincho"/>
                <w:sz w:val="18"/>
              </w:rPr>
              <w:t xml:space="preserve">subcarrier spacing of </w:t>
            </w:r>
            <w:r w:rsidRPr="00F30E12">
              <w:rPr>
                <w:position w:val="-6"/>
                <w:sz w:val="18"/>
              </w:rPr>
              <w:object w:dxaOrig="560" w:dyaOrig="300" w14:anchorId="71B7ABB3">
                <v:shape id="_x0000_i1037" type="#_x0000_t75" style="width:28.25pt;height:15.55pt" o:ole="">
                  <v:imagedata r:id="rId28" o:title=""/>
                </v:shape>
                <o:OLEObject Type="Embed" ProgID="Equation.3" ShapeID="_x0000_i1037" DrawAspect="Content" ObjectID="_1602678918" r:id="rId29"/>
              </w:object>
            </w:r>
            <w:r w:rsidRPr="00F30E12">
              <w:rPr>
                <w:sz w:val="18"/>
              </w:rPr>
              <w:t xml:space="preserve"> kHz, </w:t>
            </w:r>
            <w:r w:rsidRPr="00F30E12">
              <w:rPr>
                <w:position w:val="-12"/>
                <w:sz w:val="18"/>
              </w:rPr>
              <w:object w:dxaOrig="3200" w:dyaOrig="360" w14:anchorId="2E42DED3">
                <v:shape id="_x0000_i1038" type="#_x0000_t75" style="width:156pt;height:18pt" o:ole="">
                  <v:imagedata r:id="rId30" o:title=""/>
                </v:shape>
                <o:OLEObject Type="Embed" ProgID="Equation.3" ShapeID="_x0000_i1038" DrawAspect="Content" ObjectID="_1602678919" r:id="rId31"/>
              </w:object>
            </w:r>
            <w:r w:rsidRPr="00F30E12">
              <w:rPr>
                <w:rFonts w:hint="eastAsia"/>
                <w:sz w:val="18"/>
              </w:rPr>
              <w:t>.</w:t>
            </w:r>
          </w:p>
        </w:tc>
      </w:tr>
    </w:tbl>
    <w:p w14:paraId="4171B20F" w14:textId="1082BABC" w:rsidR="00B863B9" w:rsidRDefault="00026808" w:rsidP="00B863B9">
      <w:pPr>
        <w:jc w:val="both"/>
      </w:pPr>
      <w:r>
        <w:t xml:space="preserve">After random access, </w:t>
      </w:r>
      <w:r w:rsidR="009B3DA8">
        <w:t>the N</w:t>
      </w:r>
      <w:r w:rsidR="009B3DA8" w:rsidRPr="009B3DA8">
        <w:rPr>
          <w:vertAlign w:val="subscript"/>
        </w:rPr>
        <w:t>TA</w:t>
      </w:r>
      <w:r w:rsidR="009B3DA8">
        <w:t xml:space="preserve"> value in the end of random access </w:t>
      </w:r>
      <w:r w:rsidR="003176FD">
        <w:t>procedure</w:t>
      </w:r>
      <w:r w:rsidR="009B3DA8">
        <w:t xml:space="preserve"> becomes N</w:t>
      </w:r>
      <w:r w:rsidR="009B3DA8" w:rsidRPr="009B3DA8">
        <w:rPr>
          <w:vertAlign w:val="subscript"/>
        </w:rPr>
        <w:t xml:space="preserve">TA_old </w:t>
      </w:r>
      <w:r w:rsidR="009B3DA8">
        <w:t xml:space="preserve">when applying later timing advance commands. This implies </w:t>
      </w:r>
      <w:r w:rsidR="00DE0683">
        <w:t xml:space="preserve">that </w:t>
      </w:r>
      <w:r w:rsidR="009B3DA8">
        <w:t>this large TA could still exist when UE is transmitting PUSCH/PUCCH after RRC connection is set.</w:t>
      </w:r>
      <w:r w:rsidR="00DE0683">
        <w:t xml:space="preserve"> </w:t>
      </w:r>
    </w:p>
    <w:p w14:paraId="41C8AF95" w14:textId="77777777" w:rsidR="00B863B9" w:rsidRPr="006534F9" w:rsidRDefault="00B863B9" w:rsidP="00B863B9">
      <w:pPr>
        <w:rPr>
          <w:b/>
          <w:i/>
          <w:sz w:val="20"/>
          <w:szCs w:val="20"/>
          <w:lang w:val="x-none" w:eastAsia="x-none"/>
        </w:rPr>
      </w:pPr>
      <w:bookmarkStart w:id="2" w:name="_Ref525844622"/>
      <w:r w:rsidRPr="006534F9">
        <w:rPr>
          <w:b/>
          <w:i/>
          <w:sz w:val="20"/>
          <w:szCs w:val="20"/>
          <w:lang w:val="x-none" w:eastAsia="x-none"/>
        </w:rPr>
        <w:t xml:space="preserve">Observation </w:t>
      </w:r>
      <w:r w:rsidRPr="006534F9">
        <w:rPr>
          <w:b/>
          <w:i/>
          <w:sz w:val="20"/>
          <w:szCs w:val="20"/>
          <w:lang w:val="x-none" w:eastAsia="x-none"/>
        </w:rPr>
        <w:fldChar w:fldCharType="begin"/>
      </w:r>
      <w:r w:rsidRPr="006534F9">
        <w:rPr>
          <w:b/>
          <w:i/>
          <w:sz w:val="20"/>
          <w:szCs w:val="20"/>
          <w:lang w:val="x-none" w:eastAsia="x-none"/>
        </w:rPr>
        <w:instrText xml:space="preserve"> SEQ Observation \* ARABIC </w:instrText>
      </w:r>
      <w:r w:rsidRPr="006534F9">
        <w:rPr>
          <w:b/>
          <w:i/>
          <w:sz w:val="20"/>
          <w:szCs w:val="20"/>
          <w:lang w:val="x-none" w:eastAsia="x-none"/>
        </w:rPr>
        <w:fldChar w:fldCharType="separate"/>
      </w:r>
      <w:r>
        <w:rPr>
          <w:b/>
          <w:i/>
          <w:noProof/>
          <w:sz w:val="20"/>
          <w:szCs w:val="20"/>
          <w:lang w:val="x-none" w:eastAsia="x-none"/>
        </w:rPr>
        <w:t>1</w:t>
      </w:r>
      <w:r w:rsidRPr="006534F9">
        <w:rPr>
          <w:b/>
          <w:i/>
          <w:sz w:val="20"/>
          <w:szCs w:val="20"/>
          <w:lang w:val="x-none" w:eastAsia="x-none"/>
        </w:rPr>
        <w:fldChar w:fldCharType="end"/>
      </w:r>
      <w:r w:rsidRPr="006534F9">
        <w:rPr>
          <w:b/>
          <w:i/>
          <w:sz w:val="20"/>
          <w:szCs w:val="20"/>
          <w:lang w:val="x-none" w:eastAsia="x-none"/>
        </w:rPr>
        <w:t xml:space="preserve">: </w:t>
      </w:r>
      <w:r>
        <w:rPr>
          <w:b/>
          <w:i/>
          <w:sz w:val="20"/>
          <w:szCs w:val="20"/>
          <w:lang w:eastAsia="x-none"/>
        </w:rPr>
        <w:t>T</w:t>
      </w:r>
      <w:r w:rsidRPr="006534F9">
        <w:rPr>
          <w:b/>
          <w:i/>
          <w:sz w:val="20"/>
          <w:szCs w:val="20"/>
          <w:lang w:val="x-none" w:eastAsia="x-none"/>
        </w:rPr>
        <w:t>he maximum TA in NR could be up to 2 slots.</w:t>
      </w:r>
      <w:bookmarkEnd w:id="2"/>
    </w:p>
    <w:p w14:paraId="572855D5" w14:textId="77777777" w:rsidR="00B863B9" w:rsidRDefault="00B863B9" w:rsidP="00CA6BBA">
      <w:pPr>
        <w:jc w:val="both"/>
      </w:pPr>
    </w:p>
    <w:p w14:paraId="3B962C00" w14:textId="45B316D0" w:rsidR="00A66719" w:rsidRDefault="00DE0683" w:rsidP="00CA6BBA">
      <w:pPr>
        <w:jc w:val="both"/>
      </w:pPr>
      <w:r>
        <w:fldChar w:fldCharType="begin"/>
      </w:r>
      <w:r>
        <w:instrText xml:space="preserve"> REF _Ref528447757 \h </w:instrText>
      </w:r>
      <w:r>
        <w:fldChar w:fldCharType="separate"/>
      </w:r>
      <w:r>
        <w:t xml:space="preserve">Figure </w:t>
      </w:r>
      <w:r>
        <w:rPr>
          <w:noProof/>
        </w:rPr>
        <w:t>2</w:t>
      </w:r>
      <w:r>
        <w:fldChar w:fldCharType="end"/>
      </w:r>
      <w:r>
        <w:t xml:space="preserve"> provides some example</w:t>
      </w:r>
      <w:r w:rsidR="003176FD">
        <w:t>s (60KHz SCS, 1.5ms MGL and T</w:t>
      </w:r>
      <w:r w:rsidR="003176FD" w:rsidRPr="003176FD">
        <w:rPr>
          <w:vertAlign w:val="subscript"/>
        </w:rPr>
        <w:t>MG</w:t>
      </w:r>
      <w:r w:rsidR="003176FD">
        <w:t>=0)</w:t>
      </w:r>
      <w:r>
        <w:t xml:space="preserve"> on how this large TA effect</w:t>
      </w:r>
      <w:r w:rsidR="00A66719">
        <w:t>s</w:t>
      </w:r>
      <w:r>
        <w:t xml:space="preserve"> not only the UE behavior before and after gap, but also the existing r</w:t>
      </w:r>
      <w:r w:rsidR="003176FD">
        <w:t xml:space="preserve">equirement of gap interruption. It can be seen that with </w:t>
      </w:r>
      <w:r w:rsidR="001B290F">
        <w:t>different accumulated</w:t>
      </w:r>
      <w:r w:rsidR="003176FD">
        <w:t xml:space="preserve"> TA, </w:t>
      </w:r>
      <w:r w:rsidR="00A66719">
        <w:t xml:space="preserve">the exact slot indices for </w:t>
      </w:r>
      <w:r w:rsidR="00A66719" w:rsidRPr="00A66719">
        <w:t>slot before/after MG, partially overlapped slot before</w:t>
      </w:r>
      <w:r w:rsidR="00A66719">
        <w:t>/after</w:t>
      </w:r>
      <w:r w:rsidR="00A66719" w:rsidRPr="00A66719">
        <w:t xml:space="preserve"> MG</w:t>
      </w:r>
      <w:r w:rsidR="00A66719">
        <w:t xml:space="preserve"> and interrupted slots could be different. </w:t>
      </w:r>
    </w:p>
    <w:p w14:paraId="6670CB40" w14:textId="77777777" w:rsidR="001B290F" w:rsidRDefault="001B290F" w:rsidP="001B290F">
      <w:pPr>
        <w:jc w:val="center"/>
      </w:pPr>
      <w:r w:rsidRPr="00A66719">
        <w:rPr>
          <w:noProof/>
        </w:rPr>
        <w:lastRenderedPageBreak/>
        <w:drawing>
          <wp:inline distT="0" distB="0" distL="0" distR="0" wp14:anchorId="75035F21" wp14:editId="1D657737">
            <wp:extent cx="6120765" cy="3075002"/>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120765" cy="3075002"/>
                    </a:xfrm>
                    <a:prstGeom prst="rect">
                      <a:avLst/>
                    </a:prstGeom>
                    <a:noFill/>
                    <a:ln>
                      <a:noFill/>
                    </a:ln>
                  </pic:spPr>
                </pic:pic>
              </a:graphicData>
            </a:graphic>
          </wp:inline>
        </w:drawing>
      </w:r>
    </w:p>
    <w:p w14:paraId="10324EBD" w14:textId="77777777" w:rsidR="001B290F" w:rsidRPr="00DE0683" w:rsidRDefault="001B290F" w:rsidP="001B290F">
      <w:pPr>
        <w:pStyle w:val="af1"/>
        <w:jc w:val="center"/>
        <w:rPr>
          <w:lang w:val="en-US"/>
        </w:rPr>
      </w:pPr>
      <w:bookmarkStart w:id="3" w:name="_Ref528447757"/>
      <w:r>
        <w:t xml:space="preserve">Figure </w:t>
      </w:r>
      <w:r>
        <w:fldChar w:fldCharType="begin"/>
      </w:r>
      <w:r>
        <w:instrText xml:space="preserve"> SEQ Figure \* ARABIC </w:instrText>
      </w:r>
      <w:r>
        <w:fldChar w:fldCharType="separate"/>
      </w:r>
      <w:r>
        <w:rPr>
          <w:noProof/>
        </w:rPr>
        <w:t>2</w:t>
      </w:r>
      <w:r>
        <w:rPr>
          <w:noProof/>
        </w:rPr>
        <w:fldChar w:fldCharType="end"/>
      </w:r>
      <w:bookmarkEnd w:id="3"/>
      <w:r>
        <w:rPr>
          <w:lang w:val="en-US"/>
        </w:rPr>
        <w:t>. Impact of large TA on UL slots before, after and during MG.</w:t>
      </w:r>
    </w:p>
    <w:p w14:paraId="4D34320C" w14:textId="77777777" w:rsidR="001B290F" w:rsidRDefault="001B290F" w:rsidP="00CA6BBA">
      <w:pPr>
        <w:jc w:val="both"/>
      </w:pPr>
    </w:p>
    <w:p w14:paraId="48E0D15A" w14:textId="1675C620" w:rsidR="00A66719" w:rsidRDefault="00A66719" w:rsidP="00A66719">
      <w:pPr>
        <w:jc w:val="both"/>
        <w:rPr>
          <w:lang w:eastAsia="en-US"/>
        </w:rPr>
      </w:pPr>
      <w:r>
        <w:t xml:space="preserve">Note that </w:t>
      </w:r>
      <w:r>
        <w:fldChar w:fldCharType="begin"/>
      </w:r>
      <w:r>
        <w:instrText xml:space="preserve"> REF _Ref528447757 \h </w:instrText>
      </w:r>
      <w:r>
        <w:fldChar w:fldCharType="separate"/>
      </w:r>
      <w:r>
        <w:t xml:space="preserve">Figure </w:t>
      </w:r>
      <w:r>
        <w:rPr>
          <w:noProof/>
        </w:rPr>
        <w:t>2</w:t>
      </w:r>
      <w:r>
        <w:fldChar w:fldCharType="end"/>
      </w:r>
      <w:r>
        <w:t xml:space="preserve"> presents the exampl</w:t>
      </w:r>
      <w:r w:rsidR="00721E03">
        <w:t>e based on UE’s time line. How slots are overlapped by MG due to T</w:t>
      </w:r>
      <w:r>
        <w:t xml:space="preserve">A may not be visible to the network on UL data reception. </w:t>
      </w:r>
      <w:r>
        <w:rPr>
          <w:lang w:eastAsia="en-US"/>
        </w:rPr>
        <w:t xml:space="preserve">In this case, </w:t>
      </w:r>
      <w:r w:rsidR="006E058D">
        <w:rPr>
          <w:lang w:eastAsia="en-US"/>
        </w:rPr>
        <w:t xml:space="preserve">it is not clear whether we can set </w:t>
      </w:r>
      <w:r>
        <w:rPr>
          <w:lang w:eastAsia="en-US"/>
        </w:rPr>
        <w:t xml:space="preserve">rule </w:t>
      </w:r>
      <w:r w:rsidR="00B863B9">
        <w:rPr>
          <w:lang w:eastAsia="en-US"/>
        </w:rPr>
        <w:t xml:space="preserve">on UE’s behavior before and after gap </w:t>
      </w:r>
      <w:r>
        <w:rPr>
          <w:lang w:eastAsia="en-US"/>
        </w:rPr>
        <w:t xml:space="preserve">should be set between network and UE on which slot can be dropped. </w:t>
      </w:r>
      <w:r w:rsidR="006E058D">
        <w:rPr>
          <w:lang w:eastAsia="en-US"/>
        </w:rPr>
        <w:t>What we need in the end is to avoid the situation that</w:t>
      </w:r>
      <w:r>
        <w:rPr>
          <w:lang w:eastAsia="en-US"/>
        </w:rPr>
        <w:t xml:space="preserve"> UE drop</w:t>
      </w:r>
      <w:r w:rsidR="006E058D">
        <w:rPr>
          <w:lang w:eastAsia="en-US"/>
        </w:rPr>
        <w:t>s</w:t>
      </w:r>
      <w:r>
        <w:rPr>
          <w:lang w:eastAsia="en-US"/>
        </w:rPr>
        <w:t xml:space="preserve"> the slot </w:t>
      </w:r>
      <w:r w:rsidR="001B290F">
        <w:rPr>
          <w:lang w:eastAsia="en-US"/>
        </w:rPr>
        <w:t>where</w:t>
      </w:r>
      <w:r>
        <w:rPr>
          <w:lang w:eastAsia="en-US"/>
        </w:rPr>
        <w:t xml:space="preserve"> gNB assumes UE will transmit. Fundamentally, </w:t>
      </w:r>
      <w:r w:rsidR="00B863B9">
        <w:rPr>
          <w:lang w:eastAsia="en-US"/>
        </w:rPr>
        <w:t>this depends on how</w:t>
      </w:r>
      <w:r>
        <w:rPr>
          <w:lang w:eastAsia="en-US"/>
        </w:rPr>
        <w:t xml:space="preserve"> network can correctly know the absolute amount of accumulated TA</w:t>
      </w:r>
      <w:r w:rsidR="00B863B9">
        <w:rPr>
          <w:lang w:eastAsia="en-US"/>
        </w:rPr>
        <w:t xml:space="preserve"> in the UE side. </w:t>
      </w:r>
    </w:p>
    <w:p w14:paraId="1C3F8DBF" w14:textId="38418448" w:rsidR="00325C58" w:rsidRPr="00F949F4" w:rsidRDefault="00F949F4" w:rsidP="00F949F4">
      <w:pPr>
        <w:pStyle w:val="af1"/>
        <w:rPr>
          <w:lang w:val="en-US" w:eastAsia="en-US"/>
        </w:rPr>
      </w:pPr>
      <w:bookmarkStart w:id="4" w:name="_Ref525844631"/>
      <w:r>
        <w:t xml:space="preserve">Proposal </w:t>
      </w:r>
      <w:r w:rsidR="009B68DC">
        <w:fldChar w:fldCharType="begin"/>
      </w:r>
      <w:r w:rsidR="009B68DC">
        <w:instrText xml:space="preserve"> SEQ Proposal \* ARABIC </w:instrText>
      </w:r>
      <w:r w:rsidR="009B68DC">
        <w:fldChar w:fldCharType="separate"/>
      </w:r>
      <w:r w:rsidR="00026808">
        <w:rPr>
          <w:noProof/>
        </w:rPr>
        <w:t>2</w:t>
      </w:r>
      <w:r w:rsidR="009B68DC">
        <w:rPr>
          <w:noProof/>
        </w:rPr>
        <w:fldChar w:fldCharType="end"/>
      </w:r>
      <w:r>
        <w:rPr>
          <w:lang w:val="en-US"/>
        </w:rPr>
        <w:t xml:space="preserve">: RAN4 to study </w:t>
      </w:r>
      <w:r w:rsidR="00B863B9">
        <w:rPr>
          <w:lang w:val="en-US"/>
        </w:rPr>
        <w:t>the impact of large</w:t>
      </w:r>
      <w:r>
        <w:rPr>
          <w:lang w:eastAsia="en-US"/>
        </w:rPr>
        <w:t xml:space="preserve"> TA</w:t>
      </w:r>
      <w:r>
        <w:rPr>
          <w:lang w:val="en-US" w:eastAsia="en-US"/>
        </w:rPr>
        <w:t xml:space="preserve"> </w:t>
      </w:r>
      <w:r w:rsidR="00B863B9">
        <w:rPr>
          <w:lang w:val="en-US" w:eastAsia="en-US"/>
        </w:rPr>
        <w:t xml:space="preserve">on UL </w:t>
      </w:r>
      <w:r w:rsidR="00B863B9" w:rsidRPr="00B863B9">
        <w:rPr>
          <w:lang w:val="en-US" w:eastAsia="en-US"/>
        </w:rPr>
        <w:t xml:space="preserve">slot before/after MG and interrupted </w:t>
      </w:r>
      <w:r w:rsidR="00B863B9">
        <w:rPr>
          <w:lang w:val="en-US" w:eastAsia="en-US"/>
        </w:rPr>
        <w:t xml:space="preserve">UL </w:t>
      </w:r>
      <w:r w:rsidR="00B863B9" w:rsidRPr="00B863B9">
        <w:rPr>
          <w:lang w:val="en-US" w:eastAsia="en-US"/>
        </w:rPr>
        <w:t>slots</w:t>
      </w:r>
      <w:r>
        <w:rPr>
          <w:lang w:val="en-US" w:eastAsia="en-US"/>
        </w:rPr>
        <w:t>.</w:t>
      </w:r>
      <w:bookmarkEnd w:id="4"/>
    </w:p>
    <w:p w14:paraId="60301AEF" w14:textId="77777777" w:rsidR="00BE4CCA" w:rsidRDefault="00BE4CCA" w:rsidP="00954066">
      <w:pPr>
        <w:rPr>
          <w:lang w:val="en-GB" w:eastAsia="en-US"/>
        </w:rPr>
      </w:pPr>
    </w:p>
    <w:p w14:paraId="7C6FC139" w14:textId="77777777" w:rsidR="00CE0D5E" w:rsidRPr="000C45FD" w:rsidRDefault="00141644" w:rsidP="00CE0D5E">
      <w:pPr>
        <w:pStyle w:val="1"/>
        <w:numPr>
          <w:ilvl w:val="0"/>
          <w:numId w:val="2"/>
        </w:numPr>
        <w:rPr>
          <w:rFonts w:ascii="Calibri" w:hAnsi="Calibri"/>
          <w:lang w:eastAsia="zh-CN"/>
        </w:rPr>
      </w:pPr>
      <w:r>
        <w:rPr>
          <w:rFonts w:ascii="Calibri" w:hAnsi="Calibri"/>
        </w:rPr>
        <w:t>Summary</w:t>
      </w:r>
    </w:p>
    <w:p w14:paraId="331AFF5E" w14:textId="163BA9E1" w:rsidR="00387A78" w:rsidRDefault="006F7557" w:rsidP="005D0BD9">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B420D5">
        <w:t xml:space="preserve">propose the </w:t>
      </w:r>
      <w:r w:rsidR="00CE4FF9">
        <w:rPr>
          <w:noProof/>
        </w:rPr>
        <w:t>gap starting point and UE behavior before and after measurement gap</w:t>
      </w:r>
      <w:r w:rsidR="00B420D5">
        <w:t>.</w:t>
      </w:r>
      <w:r w:rsidR="00CE4FF9">
        <w:t xml:space="preserve"> We have the following observations and proposals </w:t>
      </w:r>
      <w:bookmarkStart w:id="5" w:name="_GoBack"/>
      <w:bookmarkEnd w:id="5"/>
    </w:p>
    <w:p w14:paraId="43D5AB52" w14:textId="050A71CE" w:rsidR="00B863B9" w:rsidRPr="00B863B9" w:rsidRDefault="00B863B9" w:rsidP="005D0BD9">
      <w:pPr>
        <w:adjustRightInd w:val="0"/>
        <w:snapToGrid w:val="0"/>
        <w:spacing w:before="180" w:after="120"/>
        <w:jc w:val="both"/>
        <w:rPr>
          <w:b/>
          <w:i/>
          <w:sz w:val="20"/>
          <w:szCs w:val="20"/>
          <w:lang w:val="x-none" w:eastAsia="x-none"/>
        </w:rPr>
      </w:pPr>
      <w:r w:rsidRPr="00B863B9">
        <w:rPr>
          <w:b/>
          <w:i/>
          <w:sz w:val="20"/>
          <w:szCs w:val="20"/>
          <w:lang w:val="x-none" w:eastAsia="x-none"/>
        </w:rPr>
        <w:fldChar w:fldCharType="begin"/>
      </w:r>
      <w:r w:rsidRPr="00B863B9">
        <w:rPr>
          <w:b/>
          <w:i/>
          <w:sz w:val="20"/>
          <w:szCs w:val="20"/>
          <w:lang w:val="x-none" w:eastAsia="x-none"/>
        </w:rPr>
        <w:instrText xml:space="preserve"> REF _Ref525844622 \h </w:instrText>
      </w:r>
      <w:r>
        <w:rPr>
          <w:b/>
          <w:i/>
          <w:sz w:val="20"/>
          <w:szCs w:val="20"/>
          <w:lang w:val="x-none" w:eastAsia="x-none"/>
        </w:rPr>
        <w:instrText xml:space="preserve"> \* MERGEFORMAT </w:instrText>
      </w:r>
      <w:r w:rsidRPr="00B863B9">
        <w:rPr>
          <w:b/>
          <w:i/>
          <w:sz w:val="20"/>
          <w:szCs w:val="20"/>
          <w:lang w:val="x-none" w:eastAsia="x-none"/>
        </w:rPr>
      </w:r>
      <w:r w:rsidRPr="00B863B9">
        <w:rPr>
          <w:b/>
          <w:i/>
          <w:sz w:val="20"/>
          <w:szCs w:val="20"/>
          <w:lang w:val="x-none" w:eastAsia="x-none"/>
        </w:rPr>
        <w:fldChar w:fldCharType="separate"/>
      </w:r>
      <w:r w:rsidR="006E058D" w:rsidRPr="006534F9">
        <w:rPr>
          <w:b/>
          <w:i/>
          <w:sz w:val="20"/>
          <w:szCs w:val="20"/>
          <w:lang w:val="x-none" w:eastAsia="x-none"/>
        </w:rPr>
        <w:t xml:space="preserve">Observation </w:t>
      </w:r>
      <w:r w:rsidR="006E058D">
        <w:rPr>
          <w:b/>
          <w:i/>
          <w:sz w:val="20"/>
          <w:szCs w:val="20"/>
          <w:lang w:val="x-none" w:eastAsia="x-none"/>
        </w:rPr>
        <w:t>1</w:t>
      </w:r>
      <w:r w:rsidR="006E058D" w:rsidRPr="006534F9">
        <w:rPr>
          <w:b/>
          <w:i/>
          <w:sz w:val="20"/>
          <w:szCs w:val="20"/>
          <w:lang w:val="x-none" w:eastAsia="x-none"/>
        </w:rPr>
        <w:t xml:space="preserve">: </w:t>
      </w:r>
      <w:r w:rsidR="006E058D" w:rsidRPr="006E058D">
        <w:rPr>
          <w:b/>
          <w:i/>
          <w:sz w:val="20"/>
          <w:szCs w:val="20"/>
          <w:lang w:val="x-none" w:eastAsia="x-none"/>
        </w:rPr>
        <w:t>T</w:t>
      </w:r>
      <w:r w:rsidR="006E058D" w:rsidRPr="006534F9">
        <w:rPr>
          <w:b/>
          <w:i/>
          <w:sz w:val="20"/>
          <w:szCs w:val="20"/>
          <w:lang w:val="x-none" w:eastAsia="x-none"/>
        </w:rPr>
        <w:t>he maximum TA in NR could be up to 2 slots.</w:t>
      </w:r>
      <w:r w:rsidRPr="00B863B9">
        <w:rPr>
          <w:b/>
          <w:i/>
          <w:sz w:val="20"/>
          <w:szCs w:val="20"/>
          <w:lang w:val="x-none" w:eastAsia="x-none"/>
        </w:rPr>
        <w:fldChar w:fldCharType="end"/>
      </w:r>
    </w:p>
    <w:p w14:paraId="45838BC6" w14:textId="7CBC9D5C" w:rsidR="00B863B9" w:rsidRPr="00B863B9" w:rsidRDefault="00B863B9" w:rsidP="005D0BD9">
      <w:pPr>
        <w:adjustRightInd w:val="0"/>
        <w:snapToGrid w:val="0"/>
        <w:spacing w:before="180" w:after="120"/>
        <w:jc w:val="both"/>
        <w:rPr>
          <w:b/>
          <w:i/>
          <w:sz w:val="20"/>
          <w:szCs w:val="20"/>
          <w:lang w:val="x-none" w:eastAsia="x-none"/>
        </w:rPr>
      </w:pPr>
      <w:r w:rsidRPr="00B863B9">
        <w:rPr>
          <w:b/>
          <w:i/>
          <w:sz w:val="20"/>
          <w:szCs w:val="20"/>
          <w:lang w:val="x-none" w:eastAsia="x-none"/>
        </w:rPr>
        <w:fldChar w:fldCharType="begin"/>
      </w:r>
      <w:r w:rsidRPr="00B863B9">
        <w:rPr>
          <w:b/>
          <w:i/>
          <w:sz w:val="20"/>
          <w:szCs w:val="20"/>
          <w:lang w:val="x-none" w:eastAsia="x-none"/>
        </w:rPr>
        <w:instrText xml:space="preserve"> REF _Ref528519314 \h </w:instrText>
      </w:r>
      <w:r>
        <w:rPr>
          <w:b/>
          <w:i/>
          <w:sz w:val="20"/>
          <w:szCs w:val="20"/>
          <w:lang w:val="x-none" w:eastAsia="x-none"/>
        </w:rPr>
        <w:instrText xml:space="preserve"> \* MERGEFORMAT </w:instrText>
      </w:r>
      <w:r w:rsidRPr="00B863B9">
        <w:rPr>
          <w:b/>
          <w:i/>
          <w:sz w:val="20"/>
          <w:szCs w:val="20"/>
          <w:lang w:val="x-none" w:eastAsia="x-none"/>
        </w:rPr>
      </w:r>
      <w:r w:rsidRPr="00B863B9">
        <w:rPr>
          <w:b/>
          <w:i/>
          <w:sz w:val="20"/>
          <w:szCs w:val="20"/>
          <w:lang w:val="x-none" w:eastAsia="x-none"/>
        </w:rPr>
        <w:fldChar w:fldCharType="separate"/>
      </w:r>
      <w:r w:rsidR="006E058D" w:rsidRPr="006E058D">
        <w:rPr>
          <w:b/>
          <w:i/>
          <w:sz w:val="20"/>
          <w:szCs w:val="20"/>
          <w:lang w:val="x-none" w:eastAsia="x-none"/>
        </w:rPr>
        <w:t>Proposal 1: UE is not expected to receive PDCCH/PDSCH in slot(s) partially overlapping with MG in Rel-15.</w:t>
      </w:r>
      <w:r w:rsidRPr="00B863B9">
        <w:rPr>
          <w:b/>
          <w:i/>
          <w:sz w:val="20"/>
          <w:szCs w:val="20"/>
          <w:lang w:val="x-none" w:eastAsia="x-none"/>
        </w:rPr>
        <w:fldChar w:fldCharType="end"/>
      </w:r>
    </w:p>
    <w:p w14:paraId="447C9945" w14:textId="6AEDD518" w:rsidR="00B863B9" w:rsidRPr="00B863B9" w:rsidRDefault="00B863B9" w:rsidP="005D0BD9">
      <w:pPr>
        <w:adjustRightInd w:val="0"/>
        <w:snapToGrid w:val="0"/>
        <w:spacing w:before="180" w:after="120"/>
        <w:jc w:val="both"/>
        <w:rPr>
          <w:b/>
          <w:i/>
          <w:sz w:val="20"/>
          <w:szCs w:val="20"/>
          <w:lang w:val="x-none" w:eastAsia="x-none"/>
        </w:rPr>
      </w:pPr>
      <w:r w:rsidRPr="00B863B9">
        <w:rPr>
          <w:b/>
          <w:i/>
          <w:sz w:val="20"/>
          <w:szCs w:val="20"/>
          <w:lang w:val="x-none" w:eastAsia="x-none"/>
        </w:rPr>
        <w:fldChar w:fldCharType="begin"/>
      </w:r>
      <w:r w:rsidRPr="00B863B9">
        <w:rPr>
          <w:b/>
          <w:i/>
          <w:sz w:val="20"/>
          <w:szCs w:val="20"/>
          <w:lang w:val="x-none" w:eastAsia="x-none"/>
        </w:rPr>
        <w:instrText xml:space="preserve"> REF _Ref525844631 \h </w:instrText>
      </w:r>
      <w:r>
        <w:rPr>
          <w:b/>
          <w:i/>
          <w:sz w:val="20"/>
          <w:szCs w:val="20"/>
          <w:lang w:val="x-none" w:eastAsia="x-none"/>
        </w:rPr>
        <w:instrText xml:space="preserve"> \* MERGEFORMAT </w:instrText>
      </w:r>
      <w:r w:rsidRPr="00B863B9">
        <w:rPr>
          <w:b/>
          <w:i/>
          <w:sz w:val="20"/>
          <w:szCs w:val="20"/>
          <w:lang w:val="x-none" w:eastAsia="x-none"/>
        </w:rPr>
      </w:r>
      <w:r w:rsidRPr="00B863B9">
        <w:rPr>
          <w:b/>
          <w:i/>
          <w:sz w:val="20"/>
          <w:szCs w:val="20"/>
          <w:lang w:val="x-none" w:eastAsia="x-none"/>
        </w:rPr>
        <w:fldChar w:fldCharType="separate"/>
      </w:r>
      <w:r w:rsidR="006E058D" w:rsidRPr="006E058D">
        <w:rPr>
          <w:b/>
          <w:i/>
          <w:sz w:val="20"/>
          <w:szCs w:val="20"/>
          <w:lang w:val="x-none" w:eastAsia="x-none"/>
        </w:rPr>
        <w:t>Proposal 2: RAN4 to study the impact of large TA on UL slot before/after MG and interrupted UL slots.</w:t>
      </w:r>
      <w:r w:rsidRPr="00B863B9">
        <w:rPr>
          <w:b/>
          <w:i/>
          <w:sz w:val="20"/>
          <w:szCs w:val="20"/>
          <w:lang w:val="x-none" w:eastAsia="x-none"/>
        </w:rPr>
        <w:fldChar w:fldCharType="end"/>
      </w:r>
    </w:p>
    <w:p w14:paraId="00085F61" w14:textId="77777777" w:rsidR="000F20AC" w:rsidRPr="000C45FD" w:rsidRDefault="000F20AC" w:rsidP="001D3830">
      <w:pPr>
        <w:pStyle w:val="1"/>
        <w:numPr>
          <w:ilvl w:val="0"/>
          <w:numId w:val="2"/>
        </w:numPr>
        <w:rPr>
          <w:rFonts w:ascii="Calibri" w:hAnsi="Calibri"/>
        </w:rPr>
      </w:pPr>
      <w:r w:rsidRPr="000C45FD">
        <w:rPr>
          <w:rFonts w:ascii="Calibri" w:hAnsi="Calibri"/>
        </w:rPr>
        <w:t>References</w:t>
      </w:r>
    </w:p>
    <w:p w14:paraId="3613CDAD" w14:textId="0D059D75" w:rsidR="004D05A7" w:rsidRPr="00C57191" w:rsidRDefault="00E933B6" w:rsidP="00EF05DD">
      <w:pPr>
        <w:numPr>
          <w:ilvl w:val="0"/>
          <w:numId w:val="1"/>
        </w:numPr>
        <w:rPr>
          <w:iCs/>
          <w:lang w:val="en-GB"/>
        </w:rPr>
      </w:pPr>
      <w:bookmarkStart w:id="6" w:name="_Ref510193169"/>
      <w:bookmarkStart w:id="7" w:name="_Ref509850443"/>
      <w:bookmarkStart w:id="8" w:name="_Ref446505138"/>
      <w:r w:rsidRPr="00E933B6">
        <w:rPr>
          <w:iCs/>
          <w:lang w:val="en-GB"/>
        </w:rPr>
        <w:t>R4-1814071</w:t>
      </w:r>
      <w:r w:rsidR="00EF05DD">
        <w:rPr>
          <w:iCs/>
          <w:lang w:val="en-GB"/>
        </w:rPr>
        <w:t>, “</w:t>
      </w:r>
      <w:r w:rsidRPr="00E933B6">
        <w:rPr>
          <w:iCs/>
        </w:rPr>
        <w:t>Measurement gap starting point (section 9.1.2)</w:t>
      </w:r>
      <w:r w:rsidR="00F53223">
        <w:rPr>
          <w:iCs/>
        </w:rPr>
        <w:t xml:space="preserve">’’, </w:t>
      </w:r>
      <w:r w:rsidRPr="00E933B6">
        <w:rPr>
          <w:iCs/>
        </w:rPr>
        <w:t>Huawei, HiSilicon</w:t>
      </w:r>
      <w:bookmarkEnd w:id="6"/>
      <w:bookmarkEnd w:id="7"/>
      <w:bookmarkEnd w:id="8"/>
    </w:p>
    <w:p w14:paraId="216BEFCB" w14:textId="1A29692A" w:rsidR="00C57191" w:rsidRPr="00627136" w:rsidRDefault="00C57191" w:rsidP="00C57191">
      <w:pPr>
        <w:numPr>
          <w:ilvl w:val="0"/>
          <w:numId w:val="1"/>
        </w:numPr>
      </w:pPr>
      <w:r w:rsidRPr="00627136">
        <w:t>R4-1813729, “</w:t>
      </w:r>
      <w:r w:rsidRPr="009214AF">
        <w:t>AdHoc Minutes for NR measurement gap and measurement capability</w:t>
      </w:r>
      <w:r w:rsidRPr="00627136">
        <w:t>”, Intel</w:t>
      </w:r>
    </w:p>
    <w:p w14:paraId="3943A132" w14:textId="731572AD" w:rsidR="00627136" w:rsidRPr="00627136" w:rsidRDefault="00627136" w:rsidP="00C57191">
      <w:pPr>
        <w:numPr>
          <w:ilvl w:val="0"/>
          <w:numId w:val="1"/>
        </w:numPr>
      </w:pPr>
      <w:r w:rsidRPr="00627136">
        <w:t>R4-180</w:t>
      </w:r>
      <w:r w:rsidRPr="00627136">
        <w:rPr>
          <w:rFonts w:hint="eastAsia"/>
        </w:rPr>
        <w:t>1331</w:t>
      </w:r>
      <w:r w:rsidRPr="00627136">
        <w:t xml:space="preserve">, “LS for </w:t>
      </w:r>
      <w:r w:rsidRPr="00627136">
        <w:rPr>
          <w:rFonts w:hint="eastAsia"/>
        </w:rPr>
        <w:t>measurement gap timing offset granularity</w:t>
      </w:r>
      <w:r w:rsidRPr="00627136">
        <w:t>”, RAN4</w:t>
      </w:r>
    </w:p>
    <w:sectPr w:rsidR="00627136" w:rsidRPr="0062713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162238" w14:textId="77777777" w:rsidR="002949DB" w:rsidRDefault="002949DB">
      <w:r>
        <w:separator/>
      </w:r>
    </w:p>
  </w:endnote>
  <w:endnote w:type="continuationSeparator" w:id="0">
    <w:p w14:paraId="7B81DACE" w14:textId="77777777" w:rsidR="002949DB" w:rsidRDefault="00294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562B56" w14:textId="77777777" w:rsidR="002949DB" w:rsidRDefault="002949DB">
      <w:r>
        <w:separator/>
      </w:r>
    </w:p>
  </w:footnote>
  <w:footnote w:type="continuationSeparator" w:id="0">
    <w:p w14:paraId="5B1AEC18" w14:textId="77777777" w:rsidR="002949DB" w:rsidRDefault="002949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1543"/>
    <w:multiLevelType w:val="hybridMultilevel"/>
    <w:tmpl w:val="9EE8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AD5D2F"/>
    <w:multiLevelType w:val="hybridMultilevel"/>
    <w:tmpl w:val="563EE646"/>
    <w:lvl w:ilvl="0" w:tplc="9A6EE254">
      <w:start w:val="1"/>
      <w:numFmt w:val="bullet"/>
      <w:lvlText w:val="•"/>
      <w:lvlJc w:val="left"/>
      <w:pPr>
        <w:tabs>
          <w:tab w:val="num" w:pos="720"/>
        </w:tabs>
        <w:ind w:left="720" w:hanging="360"/>
      </w:pPr>
      <w:rPr>
        <w:rFonts w:ascii="Arial" w:hAnsi="Arial" w:hint="default"/>
      </w:rPr>
    </w:lvl>
    <w:lvl w:ilvl="1" w:tplc="7570A3A4">
      <w:start w:val="39"/>
      <w:numFmt w:val="bullet"/>
      <w:lvlText w:val="•"/>
      <w:lvlJc w:val="left"/>
      <w:pPr>
        <w:tabs>
          <w:tab w:val="num" w:pos="1440"/>
        </w:tabs>
        <w:ind w:left="1440" w:hanging="360"/>
      </w:pPr>
      <w:rPr>
        <w:rFonts w:ascii="Arial" w:hAnsi="Arial" w:hint="default"/>
      </w:rPr>
    </w:lvl>
    <w:lvl w:ilvl="2" w:tplc="3B0EF46E">
      <w:start w:val="39"/>
      <w:numFmt w:val="bullet"/>
      <w:lvlText w:val="•"/>
      <w:lvlJc w:val="left"/>
      <w:pPr>
        <w:tabs>
          <w:tab w:val="num" w:pos="2160"/>
        </w:tabs>
        <w:ind w:left="2160" w:hanging="360"/>
      </w:pPr>
      <w:rPr>
        <w:rFonts w:ascii="Arial" w:hAnsi="Arial" w:hint="default"/>
      </w:rPr>
    </w:lvl>
    <w:lvl w:ilvl="3" w:tplc="BFF82E34" w:tentative="1">
      <w:start w:val="1"/>
      <w:numFmt w:val="bullet"/>
      <w:lvlText w:val="•"/>
      <w:lvlJc w:val="left"/>
      <w:pPr>
        <w:tabs>
          <w:tab w:val="num" w:pos="2880"/>
        </w:tabs>
        <w:ind w:left="2880" w:hanging="360"/>
      </w:pPr>
      <w:rPr>
        <w:rFonts w:ascii="Arial" w:hAnsi="Arial" w:hint="default"/>
      </w:rPr>
    </w:lvl>
    <w:lvl w:ilvl="4" w:tplc="02CCA4B4" w:tentative="1">
      <w:start w:val="1"/>
      <w:numFmt w:val="bullet"/>
      <w:lvlText w:val="•"/>
      <w:lvlJc w:val="left"/>
      <w:pPr>
        <w:tabs>
          <w:tab w:val="num" w:pos="3600"/>
        </w:tabs>
        <w:ind w:left="3600" w:hanging="360"/>
      </w:pPr>
      <w:rPr>
        <w:rFonts w:ascii="Arial" w:hAnsi="Arial" w:hint="default"/>
      </w:rPr>
    </w:lvl>
    <w:lvl w:ilvl="5" w:tplc="407C471E" w:tentative="1">
      <w:start w:val="1"/>
      <w:numFmt w:val="bullet"/>
      <w:lvlText w:val="•"/>
      <w:lvlJc w:val="left"/>
      <w:pPr>
        <w:tabs>
          <w:tab w:val="num" w:pos="4320"/>
        </w:tabs>
        <w:ind w:left="4320" w:hanging="360"/>
      </w:pPr>
      <w:rPr>
        <w:rFonts w:ascii="Arial" w:hAnsi="Arial" w:hint="default"/>
      </w:rPr>
    </w:lvl>
    <w:lvl w:ilvl="6" w:tplc="CB865A3E" w:tentative="1">
      <w:start w:val="1"/>
      <w:numFmt w:val="bullet"/>
      <w:lvlText w:val="•"/>
      <w:lvlJc w:val="left"/>
      <w:pPr>
        <w:tabs>
          <w:tab w:val="num" w:pos="5040"/>
        </w:tabs>
        <w:ind w:left="5040" w:hanging="360"/>
      </w:pPr>
      <w:rPr>
        <w:rFonts w:ascii="Arial" w:hAnsi="Arial" w:hint="default"/>
      </w:rPr>
    </w:lvl>
    <w:lvl w:ilvl="7" w:tplc="611E4B76" w:tentative="1">
      <w:start w:val="1"/>
      <w:numFmt w:val="bullet"/>
      <w:lvlText w:val="•"/>
      <w:lvlJc w:val="left"/>
      <w:pPr>
        <w:tabs>
          <w:tab w:val="num" w:pos="5760"/>
        </w:tabs>
        <w:ind w:left="5760" w:hanging="360"/>
      </w:pPr>
      <w:rPr>
        <w:rFonts w:ascii="Arial" w:hAnsi="Arial" w:hint="default"/>
      </w:rPr>
    </w:lvl>
    <w:lvl w:ilvl="8" w:tplc="6D04B32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033800"/>
    <w:multiLevelType w:val="hybridMultilevel"/>
    <w:tmpl w:val="373A2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8B5277"/>
    <w:multiLevelType w:val="hybridMultilevel"/>
    <w:tmpl w:val="D5162D3A"/>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306308"/>
    <w:multiLevelType w:val="hybridMultilevel"/>
    <w:tmpl w:val="FD5C5AD4"/>
    <w:lvl w:ilvl="0" w:tplc="041638C6">
      <w:start w:val="1"/>
      <w:numFmt w:val="bullet"/>
      <w:lvlText w:val="•"/>
      <w:lvlJc w:val="left"/>
      <w:pPr>
        <w:tabs>
          <w:tab w:val="num" w:pos="644"/>
        </w:tabs>
        <w:ind w:left="644" w:hanging="360"/>
      </w:pPr>
      <w:rPr>
        <w:rFonts w:ascii="Arial" w:hAnsi="Arial" w:hint="default"/>
      </w:rPr>
    </w:lvl>
    <w:lvl w:ilvl="1" w:tplc="8D1CDAB8">
      <w:start w:val="7109"/>
      <w:numFmt w:val="bullet"/>
      <w:lvlText w:val="–"/>
      <w:lvlJc w:val="left"/>
      <w:pPr>
        <w:tabs>
          <w:tab w:val="num" w:pos="1364"/>
        </w:tabs>
        <w:ind w:left="1364" w:hanging="360"/>
      </w:pPr>
      <w:rPr>
        <w:rFonts w:ascii="Arial" w:hAnsi="Arial" w:hint="default"/>
      </w:rPr>
    </w:lvl>
    <w:lvl w:ilvl="2" w:tplc="7B88A49C">
      <w:start w:val="7109"/>
      <w:numFmt w:val="bullet"/>
      <w:lvlText w:val="•"/>
      <w:lvlJc w:val="left"/>
      <w:pPr>
        <w:tabs>
          <w:tab w:val="num" w:pos="2084"/>
        </w:tabs>
        <w:ind w:left="2084" w:hanging="360"/>
      </w:pPr>
      <w:rPr>
        <w:rFonts w:ascii="Arial" w:hAnsi="Arial" w:hint="default"/>
      </w:rPr>
    </w:lvl>
    <w:lvl w:ilvl="3" w:tplc="618CCF28" w:tentative="1">
      <w:start w:val="1"/>
      <w:numFmt w:val="bullet"/>
      <w:lvlText w:val="•"/>
      <w:lvlJc w:val="left"/>
      <w:pPr>
        <w:tabs>
          <w:tab w:val="num" w:pos="2804"/>
        </w:tabs>
        <w:ind w:left="2804" w:hanging="360"/>
      </w:pPr>
      <w:rPr>
        <w:rFonts w:ascii="Arial" w:hAnsi="Arial" w:hint="default"/>
      </w:rPr>
    </w:lvl>
    <w:lvl w:ilvl="4" w:tplc="E23C9A64" w:tentative="1">
      <w:start w:val="1"/>
      <w:numFmt w:val="bullet"/>
      <w:lvlText w:val="•"/>
      <w:lvlJc w:val="left"/>
      <w:pPr>
        <w:tabs>
          <w:tab w:val="num" w:pos="3524"/>
        </w:tabs>
        <w:ind w:left="3524" w:hanging="360"/>
      </w:pPr>
      <w:rPr>
        <w:rFonts w:ascii="Arial" w:hAnsi="Arial" w:hint="default"/>
      </w:rPr>
    </w:lvl>
    <w:lvl w:ilvl="5" w:tplc="5BDC94F0" w:tentative="1">
      <w:start w:val="1"/>
      <w:numFmt w:val="bullet"/>
      <w:lvlText w:val="•"/>
      <w:lvlJc w:val="left"/>
      <w:pPr>
        <w:tabs>
          <w:tab w:val="num" w:pos="4244"/>
        </w:tabs>
        <w:ind w:left="4244" w:hanging="360"/>
      </w:pPr>
      <w:rPr>
        <w:rFonts w:ascii="Arial" w:hAnsi="Arial" w:hint="default"/>
      </w:rPr>
    </w:lvl>
    <w:lvl w:ilvl="6" w:tplc="4D38E392" w:tentative="1">
      <w:start w:val="1"/>
      <w:numFmt w:val="bullet"/>
      <w:lvlText w:val="•"/>
      <w:lvlJc w:val="left"/>
      <w:pPr>
        <w:tabs>
          <w:tab w:val="num" w:pos="4964"/>
        </w:tabs>
        <w:ind w:left="4964" w:hanging="360"/>
      </w:pPr>
      <w:rPr>
        <w:rFonts w:ascii="Arial" w:hAnsi="Arial" w:hint="default"/>
      </w:rPr>
    </w:lvl>
    <w:lvl w:ilvl="7" w:tplc="EFD43FD4" w:tentative="1">
      <w:start w:val="1"/>
      <w:numFmt w:val="bullet"/>
      <w:lvlText w:val="•"/>
      <w:lvlJc w:val="left"/>
      <w:pPr>
        <w:tabs>
          <w:tab w:val="num" w:pos="5684"/>
        </w:tabs>
        <w:ind w:left="5684" w:hanging="360"/>
      </w:pPr>
      <w:rPr>
        <w:rFonts w:ascii="Arial" w:hAnsi="Arial" w:hint="default"/>
      </w:rPr>
    </w:lvl>
    <w:lvl w:ilvl="8" w:tplc="3AEAB262" w:tentative="1">
      <w:start w:val="1"/>
      <w:numFmt w:val="bullet"/>
      <w:lvlText w:val="•"/>
      <w:lvlJc w:val="left"/>
      <w:pPr>
        <w:tabs>
          <w:tab w:val="num" w:pos="6404"/>
        </w:tabs>
        <w:ind w:left="6404" w:hanging="360"/>
      </w:pPr>
      <w:rPr>
        <w:rFonts w:ascii="Arial" w:hAnsi="Arial" w:hint="default"/>
      </w:rPr>
    </w:lvl>
  </w:abstractNum>
  <w:abstractNum w:abstractNumId="5" w15:restartNumberingAfterBreak="0">
    <w:nsid w:val="1FA411E8"/>
    <w:multiLevelType w:val="hybridMultilevel"/>
    <w:tmpl w:val="5578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00496C"/>
    <w:multiLevelType w:val="hybridMultilevel"/>
    <w:tmpl w:val="02C6DA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47777E8"/>
    <w:multiLevelType w:val="hybridMultilevel"/>
    <w:tmpl w:val="A4084DC0"/>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EB431B"/>
    <w:multiLevelType w:val="hybridMultilevel"/>
    <w:tmpl w:val="5E82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CB41567"/>
    <w:multiLevelType w:val="hybridMultilevel"/>
    <w:tmpl w:val="7AB6F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9B6F93"/>
    <w:multiLevelType w:val="hybridMultilevel"/>
    <w:tmpl w:val="37C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9513D4"/>
    <w:multiLevelType w:val="hybridMultilevel"/>
    <w:tmpl w:val="87D8E2C2"/>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7B68A8"/>
    <w:multiLevelType w:val="hybridMultilevel"/>
    <w:tmpl w:val="8DB871E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57494FAA"/>
    <w:multiLevelType w:val="hybridMultilevel"/>
    <w:tmpl w:val="F2B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74B04AB0"/>
    <w:multiLevelType w:val="hybridMultilevel"/>
    <w:tmpl w:val="F8F21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A13816"/>
    <w:multiLevelType w:val="hybridMultilevel"/>
    <w:tmpl w:val="33ACB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02772F"/>
    <w:multiLevelType w:val="hybridMultilevel"/>
    <w:tmpl w:val="1CE256E0"/>
    <w:lvl w:ilvl="0" w:tplc="6B9EE710">
      <w:start w:val="1"/>
      <w:numFmt w:val="bullet"/>
      <w:lvlText w:val="•"/>
      <w:lvlJc w:val="left"/>
      <w:pPr>
        <w:tabs>
          <w:tab w:val="num" w:pos="720"/>
        </w:tabs>
        <w:ind w:left="720" w:hanging="360"/>
      </w:pPr>
      <w:rPr>
        <w:rFonts w:ascii="Arial" w:hAnsi="Arial" w:hint="default"/>
      </w:rPr>
    </w:lvl>
    <w:lvl w:ilvl="1" w:tplc="0D5CECB6">
      <w:start w:val="38"/>
      <w:numFmt w:val="bullet"/>
      <w:lvlText w:val="–"/>
      <w:lvlJc w:val="left"/>
      <w:pPr>
        <w:tabs>
          <w:tab w:val="num" w:pos="1440"/>
        </w:tabs>
        <w:ind w:left="1440" w:hanging="360"/>
      </w:pPr>
      <w:rPr>
        <w:rFonts w:ascii="Arial" w:hAnsi="Arial" w:hint="default"/>
      </w:rPr>
    </w:lvl>
    <w:lvl w:ilvl="2" w:tplc="913C5106">
      <w:start w:val="38"/>
      <w:numFmt w:val="bullet"/>
      <w:lvlText w:val="•"/>
      <w:lvlJc w:val="left"/>
      <w:pPr>
        <w:tabs>
          <w:tab w:val="num" w:pos="2160"/>
        </w:tabs>
        <w:ind w:left="2160" w:hanging="360"/>
      </w:pPr>
      <w:rPr>
        <w:rFonts w:ascii="Arial" w:hAnsi="Arial" w:hint="default"/>
      </w:rPr>
    </w:lvl>
    <w:lvl w:ilvl="3" w:tplc="E74A85B8">
      <w:start w:val="38"/>
      <w:numFmt w:val="bullet"/>
      <w:lvlText w:val="–"/>
      <w:lvlJc w:val="left"/>
      <w:pPr>
        <w:tabs>
          <w:tab w:val="num" w:pos="2880"/>
        </w:tabs>
        <w:ind w:left="2880" w:hanging="360"/>
      </w:pPr>
      <w:rPr>
        <w:rFonts w:ascii="Arial" w:hAnsi="Arial" w:hint="default"/>
      </w:rPr>
    </w:lvl>
    <w:lvl w:ilvl="4" w:tplc="4704CFEE" w:tentative="1">
      <w:start w:val="1"/>
      <w:numFmt w:val="bullet"/>
      <w:lvlText w:val="•"/>
      <w:lvlJc w:val="left"/>
      <w:pPr>
        <w:tabs>
          <w:tab w:val="num" w:pos="3600"/>
        </w:tabs>
        <w:ind w:left="3600" w:hanging="360"/>
      </w:pPr>
      <w:rPr>
        <w:rFonts w:ascii="Arial" w:hAnsi="Arial" w:hint="default"/>
      </w:rPr>
    </w:lvl>
    <w:lvl w:ilvl="5" w:tplc="7E96C976" w:tentative="1">
      <w:start w:val="1"/>
      <w:numFmt w:val="bullet"/>
      <w:lvlText w:val="•"/>
      <w:lvlJc w:val="left"/>
      <w:pPr>
        <w:tabs>
          <w:tab w:val="num" w:pos="4320"/>
        </w:tabs>
        <w:ind w:left="4320" w:hanging="360"/>
      </w:pPr>
      <w:rPr>
        <w:rFonts w:ascii="Arial" w:hAnsi="Arial" w:hint="default"/>
      </w:rPr>
    </w:lvl>
    <w:lvl w:ilvl="6" w:tplc="50AC6FF0" w:tentative="1">
      <w:start w:val="1"/>
      <w:numFmt w:val="bullet"/>
      <w:lvlText w:val="•"/>
      <w:lvlJc w:val="left"/>
      <w:pPr>
        <w:tabs>
          <w:tab w:val="num" w:pos="5040"/>
        </w:tabs>
        <w:ind w:left="5040" w:hanging="360"/>
      </w:pPr>
      <w:rPr>
        <w:rFonts w:ascii="Arial" w:hAnsi="Arial" w:hint="default"/>
      </w:rPr>
    </w:lvl>
    <w:lvl w:ilvl="7" w:tplc="DBD645C6" w:tentative="1">
      <w:start w:val="1"/>
      <w:numFmt w:val="bullet"/>
      <w:lvlText w:val="•"/>
      <w:lvlJc w:val="left"/>
      <w:pPr>
        <w:tabs>
          <w:tab w:val="num" w:pos="5760"/>
        </w:tabs>
        <w:ind w:left="5760" w:hanging="360"/>
      </w:pPr>
      <w:rPr>
        <w:rFonts w:ascii="Arial" w:hAnsi="Arial" w:hint="default"/>
      </w:rPr>
    </w:lvl>
    <w:lvl w:ilvl="8" w:tplc="120CBD08"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19"/>
  </w:num>
  <w:num w:numId="3">
    <w:abstractNumId w:val="10"/>
  </w:num>
  <w:num w:numId="4">
    <w:abstractNumId w:val="13"/>
  </w:num>
  <w:num w:numId="5">
    <w:abstractNumId w:val="14"/>
  </w:num>
  <w:num w:numId="6">
    <w:abstractNumId w:val="3"/>
  </w:num>
  <w:num w:numId="7">
    <w:abstractNumId w:val="9"/>
  </w:num>
  <w:num w:numId="8">
    <w:abstractNumId w:val="17"/>
  </w:num>
  <w:num w:numId="9">
    <w:abstractNumId w:val="7"/>
  </w:num>
  <w:num w:numId="10">
    <w:abstractNumId w:val="0"/>
  </w:num>
  <w:num w:numId="11">
    <w:abstractNumId w:val="8"/>
  </w:num>
  <w:num w:numId="12">
    <w:abstractNumId w:val="12"/>
  </w:num>
  <w:num w:numId="13">
    <w:abstractNumId w:val="1"/>
  </w:num>
  <w:num w:numId="14">
    <w:abstractNumId w:val="22"/>
  </w:num>
  <w:num w:numId="15">
    <w:abstractNumId w:val="6"/>
  </w:num>
  <w:num w:numId="16">
    <w:abstractNumId w:val="2"/>
  </w:num>
  <w:num w:numId="17">
    <w:abstractNumId w:val="15"/>
  </w:num>
  <w:num w:numId="18">
    <w:abstractNumId w:val="21"/>
  </w:num>
  <w:num w:numId="19">
    <w:abstractNumId w:val="11"/>
  </w:num>
  <w:num w:numId="20">
    <w:abstractNumId w:val="5"/>
  </w:num>
  <w:num w:numId="21">
    <w:abstractNumId w:val="20"/>
  </w:num>
  <w:num w:numId="22">
    <w:abstractNumId w:val="16"/>
  </w:num>
  <w:num w:numId="23">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58B6"/>
    <w:rsid w:val="00025CAB"/>
    <w:rsid w:val="0002622D"/>
    <w:rsid w:val="00026808"/>
    <w:rsid w:val="00026819"/>
    <w:rsid w:val="0002728F"/>
    <w:rsid w:val="00027CD8"/>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7056"/>
    <w:rsid w:val="00037425"/>
    <w:rsid w:val="00037A53"/>
    <w:rsid w:val="00037F02"/>
    <w:rsid w:val="00040515"/>
    <w:rsid w:val="0004112C"/>
    <w:rsid w:val="00041DAB"/>
    <w:rsid w:val="0004269E"/>
    <w:rsid w:val="000426C7"/>
    <w:rsid w:val="00042CE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B0"/>
    <w:rsid w:val="00053BE5"/>
    <w:rsid w:val="00054850"/>
    <w:rsid w:val="00054D7E"/>
    <w:rsid w:val="00055006"/>
    <w:rsid w:val="000559F7"/>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72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706C"/>
    <w:rsid w:val="000E7AFA"/>
    <w:rsid w:val="000F0786"/>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969"/>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E91"/>
    <w:rsid w:val="001216D3"/>
    <w:rsid w:val="00121BA2"/>
    <w:rsid w:val="00121E5E"/>
    <w:rsid w:val="0012222B"/>
    <w:rsid w:val="001224A0"/>
    <w:rsid w:val="001228AF"/>
    <w:rsid w:val="00123511"/>
    <w:rsid w:val="00123768"/>
    <w:rsid w:val="00123E28"/>
    <w:rsid w:val="001246B3"/>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3447"/>
    <w:rsid w:val="0014376F"/>
    <w:rsid w:val="001438A9"/>
    <w:rsid w:val="00143BEF"/>
    <w:rsid w:val="00143EE1"/>
    <w:rsid w:val="001451B1"/>
    <w:rsid w:val="00145DC2"/>
    <w:rsid w:val="0014619B"/>
    <w:rsid w:val="0014667F"/>
    <w:rsid w:val="00146E8E"/>
    <w:rsid w:val="00147269"/>
    <w:rsid w:val="0014747E"/>
    <w:rsid w:val="001501F9"/>
    <w:rsid w:val="00150222"/>
    <w:rsid w:val="0015087F"/>
    <w:rsid w:val="00151039"/>
    <w:rsid w:val="00151893"/>
    <w:rsid w:val="00151A33"/>
    <w:rsid w:val="00151B29"/>
    <w:rsid w:val="00151B93"/>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EF9"/>
    <w:rsid w:val="00161B02"/>
    <w:rsid w:val="00161E53"/>
    <w:rsid w:val="00161F56"/>
    <w:rsid w:val="00162028"/>
    <w:rsid w:val="001624A5"/>
    <w:rsid w:val="00162FAF"/>
    <w:rsid w:val="00163203"/>
    <w:rsid w:val="00163235"/>
    <w:rsid w:val="00163717"/>
    <w:rsid w:val="00164048"/>
    <w:rsid w:val="001640AB"/>
    <w:rsid w:val="001643C8"/>
    <w:rsid w:val="00164998"/>
    <w:rsid w:val="00165033"/>
    <w:rsid w:val="0016575F"/>
    <w:rsid w:val="0016581A"/>
    <w:rsid w:val="00165AC5"/>
    <w:rsid w:val="00165DB6"/>
    <w:rsid w:val="0016622D"/>
    <w:rsid w:val="001662D0"/>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01"/>
    <w:rsid w:val="001A0969"/>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830"/>
    <w:rsid w:val="001D3864"/>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D7C85"/>
    <w:rsid w:val="001E0189"/>
    <w:rsid w:val="001E05E3"/>
    <w:rsid w:val="001E0735"/>
    <w:rsid w:val="001E0B40"/>
    <w:rsid w:val="001E12E8"/>
    <w:rsid w:val="001E1CF2"/>
    <w:rsid w:val="001E24A5"/>
    <w:rsid w:val="001E2B47"/>
    <w:rsid w:val="001E2BD4"/>
    <w:rsid w:val="001E2C4C"/>
    <w:rsid w:val="001E48F4"/>
    <w:rsid w:val="001E59BA"/>
    <w:rsid w:val="001E59E0"/>
    <w:rsid w:val="001E5A9F"/>
    <w:rsid w:val="001E677B"/>
    <w:rsid w:val="001E6CF5"/>
    <w:rsid w:val="001E7244"/>
    <w:rsid w:val="001E729E"/>
    <w:rsid w:val="001E766E"/>
    <w:rsid w:val="001E799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C3"/>
    <w:rsid w:val="001F7601"/>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69C4"/>
    <w:rsid w:val="00207064"/>
    <w:rsid w:val="00207CC5"/>
    <w:rsid w:val="00207D20"/>
    <w:rsid w:val="00207ED9"/>
    <w:rsid w:val="002104D2"/>
    <w:rsid w:val="00210691"/>
    <w:rsid w:val="00210967"/>
    <w:rsid w:val="002113D4"/>
    <w:rsid w:val="002120D2"/>
    <w:rsid w:val="00212D47"/>
    <w:rsid w:val="00212DAD"/>
    <w:rsid w:val="0021369D"/>
    <w:rsid w:val="002140D6"/>
    <w:rsid w:val="002141D8"/>
    <w:rsid w:val="00214711"/>
    <w:rsid w:val="002149AF"/>
    <w:rsid w:val="00214E33"/>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D29"/>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336"/>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6E7"/>
    <w:rsid w:val="002907BA"/>
    <w:rsid w:val="002910EE"/>
    <w:rsid w:val="0029170E"/>
    <w:rsid w:val="00291EC7"/>
    <w:rsid w:val="002927DE"/>
    <w:rsid w:val="00292908"/>
    <w:rsid w:val="00292B5F"/>
    <w:rsid w:val="00293688"/>
    <w:rsid w:val="002949DB"/>
    <w:rsid w:val="00294B67"/>
    <w:rsid w:val="00294E8F"/>
    <w:rsid w:val="00296DC9"/>
    <w:rsid w:val="00297370"/>
    <w:rsid w:val="00297BFB"/>
    <w:rsid w:val="00297CDF"/>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4E2"/>
    <w:rsid w:val="002A6A9E"/>
    <w:rsid w:val="002A6F00"/>
    <w:rsid w:val="002A7275"/>
    <w:rsid w:val="002A73F2"/>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AF4"/>
    <w:rsid w:val="002E1C71"/>
    <w:rsid w:val="002E1D5A"/>
    <w:rsid w:val="002E1DA5"/>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565"/>
    <w:rsid w:val="003045E6"/>
    <w:rsid w:val="003048D7"/>
    <w:rsid w:val="00304CE2"/>
    <w:rsid w:val="003056C7"/>
    <w:rsid w:val="00305929"/>
    <w:rsid w:val="00305AC4"/>
    <w:rsid w:val="0030684E"/>
    <w:rsid w:val="003071F6"/>
    <w:rsid w:val="00307373"/>
    <w:rsid w:val="00307BA4"/>
    <w:rsid w:val="00310144"/>
    <w:rsid w:val="0031033E"/>
    <w:rsid w:val="0031149A"/>
    <w:rsid w:val="00311689"/>
    <w:rsid w:val="003116E8"/>
    <w:rsid w:val="00311AC6"/>
    <w:rsid w:val="00311C3D"/>
    <w:rsid w:val="00311CEC"/>
    <w:rsid w:val="00312198"/>
    <w:rsid w:val="0031252F"/>
    <w:rsid w:val="0031324F"/>
    <w:rsid w:val="00313269"/>
    <w:rsid w:val="00313A9A"/>
    <w:rsid w:val="00313CB0"/>
    <w:rsid w:val="00313F96"/>
    <w:rsid w:val="00314D5F"/>
    <w:rsid w:val="00314E50"/>
    <w:rsid w:val="00314E6B"/>
    <w:rsid w:val="00314F76"/>
    <w:rsid w:val="003159C3"/>
    <w:rsid w:val="00315DDF"/>
    <w:rsid w:val="00316164"/>
    <w:rsid w:val="00316B4F"/>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903"/>
    <w:rsid w:val="00331C6A"/>
    <w:rsid w:val="00332709"/>
    <w:rsid w:val="00333319"/>
    <w:rsid w:val="00333E46"/>
    <w:rsid w:val="003344CA"/>
    <w:rsid w:val="0033464F"/>
    <w:rsid w:val="00334AA0"/>
    <w:rsid w:val="00334C64"/>
    <w:rsid w:val="00334FCF"/>
    <w:rsid w:val="003350C7"/>
    <w:rsid w:val="00335473"/>
    <w:rsid w:val="00335F0B"/>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2BF6"/>
    <w:rsid w:val="00383AF2"/>
    <w:rsid w:val="00384091"/>
    <w:rsid w:val="00384126"/>
    <w:rsid w:val="0038481C"/>
    <w:rsid w:val="0038483B"/>
    <w:rsid w:val="00384872"/>
    <w:rsid w:val="00384D39"/>
    <w:rsid w:val="00384F0A"/>
    <w:rsid w:val="003850E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333"/>
    <w:rsid w:val="00397F8E"/>
    <w:rsid w:val="00397FE0"/>
    <w:rsid w:val="003A052A"/>
    <w:rsid w:val="003A082E"/>
    <w:rsid w:val="003A0997"/>
    <w:rsid w:val="003A123F"/>
    <w:rsid w:val="003A1678"/>
    <w:rsid w:val="003A169E"/>
    <w:rsid w:val="003A1882"/>
    <w:rsid w:val="003A1FF4"/>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5F7"/>
    <w:rsid w:val="003B195D"/>
    <w:rsid w:val="003B206A"/>
    <w:rsid w:val="003B2AC8"/>
    <w:rsid w:val="003B39A6"/>
    <w:rsid w:val="003B4975"/>
    <w:rsid w:val="003B4E39"/>
    <w:rsid w:val="003B4F7B"/>
    <w:rsid w:val="003B50D7"/>
    <w:rsid w:val="003B5375"/>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6825"/>
    <w:rsid w:val="003D69EB"/>
    <w:rsid w:val="003D6BC6"/>
    <w:rsid w:val="003D780C"/>
    <w:rsid w:val="003D7EDC"/>
    <w:rsid w:val="003E051E"/>
    <w:rsid w:val="003E08CC"/>
    <w:rsid w:val="003E0C15"/>
    <w:rsid w:val="003E0D12"/>
    <w:rsid w:val="003E172E"/>
    <w:rsid w:val="003E21A7"/>
    <w:rsid w:val="003E2734"/>
    <w:rsid w:val="003E32E1"/>
    <w:rsid w:val="003E3655"/>
    <w:rsid w:val="003E3963"/>
    <w:rsid w:val="003E4083"/>
    <w:rsid w:val="003E4570"/>
    <w:rsid w:val="003E4FE6"/>
    <w:rsid w:val="003E52D4"/>
    <w:rsid w:val="003E5F5C"/>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630"/>
    <w:rsid w:val="00411677"/>
    <w:rsid w:val="0041206D"/>
    <w:rsid w:val="00412505"/>
    <w:rsid w:val="00412CFA"/>
    <w:rsid w:val="004136E4"/>
    <w:rsid w:val="00413B98"/>
    <w:rsid w:val="00413D12"/>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4E36"/>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BB8"/>
    <w:rsid w:val="004628FC"/>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DBC"/>
    <w:rsid w:val="00473924"/>
    <w:rsid w:val="00474255"/>
    <w:rsid w:val="004742DF"/>
    <w:rsid w:val="00474A34"/>
    <w:rsid w:val="00474EA8"/>
    <w:rsid w:val="00475329"/>
    <w:rsid w:val="00475688"/>
    <w:rsid w:val="00475F8F"/>
    <w:rsid w:val="00476198"/>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25D"/>
    <w:rsid w:val="004D044A"/>
    <w:rsid w:val="004D05A7"/>
    <w:rsid w:val="004D0607"/>
    <w:rsid w:val="004D0BA3"/>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64EC"/>
    <w:rsid w:val="004F72FD"/>
    <w:rsid w:val="004F76E2"/>
    <w:rsid w:val="004F7890"/>
    <w:rsid w:val="00500815"/>
    <w:rsid w:val="00501B1E"/>
    <w:rsid w:val="00502410"/>
    <w:rsid w:val="00503196"/>
    <w:rsid w:val="005032CB"/>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C5"/>
    <w:rsid w:val="0052545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407"/>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AEE"/>
    <w:rsid w:val="00550B00"/>
    <w:rsid w:val="00550D9E"/>
    <w:rsid w:val="00550DB6"/>
    <w:rsid w:val="00551213"/>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BDC"/>
    <w:rsid w:val="00577C07"/>
    <w:rsid w:val="00577E2B"/>
    <w:rsid w:val="00580536"/>
    <w:rsid w:val="00580926"/>
    <w:rsid w:val="0058128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281"/>
    <w:rsid w:val="005C4450"/>
    <w:rsid w:val="005C502F"/>
    <w:rsid w:val="005C5A64"/>
    <w:rsid w:val="005C5ED7"/>
    <w:rsid w:val="005C5F96"/>
    <w:rsid w:val="005C61A7"/>
    <w:rsid w:val="005C6A95"/>
    <w:rsid w:val="005C6E40"/>
    <w:rsid w:val="005C748C"/>
    <w:rsid w:val="005D0100"/>
    <w:rsid w:val="005D05E3"/>
    <w:rsid w:val="005D0890"/>
    <w:rsid w:val="005D0BD9"/>
    <w:rsid w:val="005D100E"/>
    <w:rsid w:val="005D10BA"/>
    <w:rsid w:val="005D1447"/>
    <w:rsid w:val="005D22A1"/>
    <w:rsid w:val="005D2A9D"/>
    <w:rsid w:val="005D353F"/>
    <w:rsid w:val="005D36FD"/>
    <w:rsid w:val="005D39A4"/>
    <w:rsid w:val="005D3B3E"/>
    <w:rsid w:val="005D4892"/>
    <w:rsid w:val="005D4A29"/>
    <w:rsid w:val="005D5435"/>
    <w:rsid w:val="005D62A1"/>
    <w:rsid w:val="005D6843"/>
    <w:rsid w:val="005D6AE3"/>
    <w:rsid w:val="005D6ECB"/>
    <w:rsid w:val="005D6FFA"/>
    <w:rsid w:val="005D75E9"/>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69"/>
    <w:rsid w:val="00641B8E"/>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5002A"/>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17A3"/>
    <w:rsid w:val="006719FE"/>
    <w:rsid w:val="00671C7D"/>
    <w:rsid w:val="00672309"/>
    <w:rsid w:val="00673312"/>
    <w:rsid w:val="00673767"/>
    <w:rsid w:val="00673EB0"/>
    <w:rsid w:val="0067450A"/>
    <w:rsid w:val="006747A8"/>
    <w:rsid w:val="006747E1"/>
    <w:rsid w:val="00674895"/>
    <w:rsid w:val="00674D88"/>
    <w:rsid w:val="00675544"/>
    <w:rsid w:val="00675840"/>
    <w:rsid w:val="0067584C"/>
    <w:rsid w:val="00675D57"/>
    <w:rsid w:val="00675E39"/>
    <w:rsid w:val="00675E56"/>
    <w:rsid w:val="006764F7"/>
    <w:rsid w:val="00676527"/>
    <w:rsid w:val="00676BDC"/>
    <w:rsid w:val="00676E96"/>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EED"/>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522"/>
    <w:rsid w:val="006C5791"/>
    <w:rsid w:val="006C5B9D"/>
    <w:rsid w:val="006C6644"/>
    <w:rsid w:val="006C6834"/>
    <w:rsid w:val="006C6BD9"/>
    <w:rsid w:val="006C785E"/>
    <w:rsid w:val="006C7A07"/>
    <w:rsid w:val="006D004E"/>
    <w:rsid w:val="006D0241"/>
    <w:rsid w:val="006D0339"/>
    <w:rsid w:val="006D0392"/>
    <w:rsid w:val="006D0CE9"/>
    <w:rsid w:val="006D0FF4"/>
    <w:rsid w:val="006D1139"/>
    <w:rsid w:val="006D167D"/>
    <w:rsid w:val="006D178F"/>
    <w:rsid w:val="006D1A72"/>
    <w:rsid w:val="006D1B80"/>
    <w:rsid w:val="006D1EBE"/>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58D"/>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3BC9"/>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1E03"/>
    <w:rsid w:val="0072235B"/>
    <w:rsid w:val="007229D4"/>
    <w:rsid w:val="00722D08"/>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2810"/>
    <w:rsid w:val="00733392"/>
    <w:rsid w:val="007340AC"/>
    <w:rsid w:val="0073413F"/>
    <w:rsid w:val="00735A2C"/>
    <w:rsid w:val="007363C3"/>
    <w:rsid w:val="007365E3"/>
    <w:rsid w:val="00737667"/>
    <w:rsid w:val="00737DB0"/>
    <w:rsid w:val="00737EE8"/>
    <w:rsid w:val="007407E7"/>
    <w:rsid w:val="00740B1F"/>
    <w:rsid w:val="00740BB2"/>
    <w:rsid w:val="00740C6C"/>
    <w:rsid w:val="00740D3C"/>
    <w:rsid w:val="007410F3"/>
    <w:rsid w:val="00741127"/>
    <w:rsid w:val="00741C21"/>
    <w:rsid w:val="00741CC4"/>
    <w:rsid w:val="00741D42"/>
    <w:rsid w:val="0074224C"/>
    <w:rsid w:val="0074227A"/>
    <w:rsid w:val="00743083"/>
    <w:rsid w:val="007438F4"/>
    <w:rsid w:val="00743F02"/>
    <w:rsid w:val="007440A3"/>
    <w:rsid w:val="007445F4"/>
    <w:rsid w:val="00744C28"/>
    <w:rsid w:val="00744C54"/>
    <w:rsid w:val="00745595"/>
    <w:rsid w:val="007455B8"/>
    <w:rsid w:val="00745693"/>
    <w:rsid w:val="00745E3C"/>
    <w:rsid w:val="00746196"/>
    <w:rsid w:val="007463DC"/>
    <w:rsid w:val="00746B6D"/>
    <w:rsid w:val="00746C03"/>
    <w:rsid w:val="00746D00"/>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9FE"/>
    <w:rsid w:val="00756CFC"/>
    <w:rsid w:val="00757001"/>
    <w:rsid w:val="0075721B"/>
    <w:rsid w:val="00757E62"/>
    <w:rsid w:val="007600E5"/>
    <w:rsid w:val="007605C4"/>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FDB"/>
    <w:rsid w:val="007A7FF4"/>
    <w:rsid w:val="007B0496"/>
    <w:rsid w:val="007B0776"/>
    <w:rsid w:val="007B0F99"/>
    <w:rsid w:val="007B18C4"/>
    <w:rsid w:val="007B2844"/>
    <w:rsid w:val="007B308F"/>
    <w:rsid w:val="007B3345"/>
    <w:rsid w:val="007B33E8"/>
    <w:rsid w:val="007B352F"/>
    <w:rsid w:val="007B36B7"/>
    <w:rsid w:val="007B3799"/>
    <w:rsid w:val="007B3936"/>
    <w:rsid w:val="007B39FF"/>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87"/>
    <w:rsid w:val="007D3A69"/>
    <w:rsid w:val="007D3B6C"/>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4777"/>
    <w:rsid w:val="007E4F09"/>
    <w:rsid w:val="007E5401"/>
    <w:rsid w:val="007E5CFD"/>
    <w:rsid w:val="007E6002"/>
    <w:rsid w:val="007E67B4"/>
    <w:rsid w:val="007E6991"/>
    <w:rsid w:val="007E6C6F"/>
    <w:rsid w:val="007E7692"/>
    <w:rsid w:val="007F0715"/>
    <w:rsid w:val="007F08BC"/>
    <w:rsid w:val="007F0B07"/>
    <w:rsid w:val="007F1727"/>
    <w:rsid w:val="007F1937"/>
    <w:rsid w:val="007F1AA9"/>
    <w:rsid w:val="007F1C35"/>
    <w:rsid w:val="007F1E34"/>
    <w:rsid w:val="007F20E9"/>
    <w:rsid w:val="007F216D"/>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51D"/>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49BD"/>
    <w:rsid w:val="00814A98"/>
    <w:rsid w:val="00815692"/>
    <w:rsid w:val="00815A93"/>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9A3"/>
    <w:rsid w:val="00830E3C"/>
    <w:rsid w:val="0083199F"/>
    <w:rsid w:val="00831F29"/>
    <w:rsid w:val="0083250A"/>
    <w:rsid w:val="0083286B"/>
    <w:rsid w:val="008333F2"/>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F05"/>
    <w:rsid w:val="00846EC1"/>
    <w:rsid w:val="00847204"/>
    <w:rsid w:val="00847C25"/>
    <w:rsid w:val="00847EE6"/>
    <w:rsid w:val="008507D4"/>
    <w:rsid w:val="00851AB3"/>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712E"/>
    <w:rsid w:val="00880C1F"/>
    <w:rsid w:val="008815D1"/>
    <w:rsid w:val="0088190E"/>
    <w:rsid w:val="00881920"/>
    <w:rsid w:val="00881A9A"/>
    <w:rsid w:val="00881C68"/>
    <w:rsid w:val="008823AA"/>
    <w:rsid w:val="00882419"/>
    <w:rsid w:val="00882911"/>
    <w:rsid w:val="00882EC6"/>
    <w:rsid w:val="00883F87"/>
    <w:rsid w:val="0088427B"/>
    <w:rsid w:val="00884A01"/>
    <w:rsid w:val="00884B2B"/>
    <w:rsid w:val="0088525C"/>
    <w:rsid w:val="0088530F"/>
    <w:rsid w:val="00885DFA"/>
    <w:rsid w:val="0088613E"/>
    <w:rsid w:val="00886210"/>
    <w:rsid w:val="008866D7"/>
    <w:rsid w:val="008868BC"/>
    <w:rsid w:val="008869C6"/>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6920"/>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27B"/>
    <w:rsid w:val="008E63D4"/>
    <w:rsid w:val="008E68DE"/>
    <w:rsid w:val="008E75C0"/>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43B"/>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1019E"/>
    <w:rsid w:val="00910AFF"/>
    <w:rsid w:val="00911609"/>
    <w:rsid w:val="0091284F"/>
    <w:rsid w:val="0091294E"/>
    <w:rsid w:val="00912D6F"/>
    <w:rsid w:val="009132E6"/>
    <w:rsid w:val="00913834"/>
    <w:rsid w:val="0091441D"/>
    <w:rsid w:val="00914594"/>
    <w:rsid w:val="00914C32"/>
    <w:rsid w:val="0091519C"/>
    <w:rsid w:val="009152E9"/>
    <w:rsid w:val="00915AB7"/>
    <w:rsid w:val="00915B81"/>
    <w:rsid w:val="00915E48"/>
    <w:rsid w:val="00916157"/>
    <w:rsid w:val="0091704E"/>
    <w:rsid w:val="009175A3"/>
    <w:rsid w:val="009178AE"/>
    <w:rsid w:val="00917C15"/>
    <w:rsid w:val="00920223"/>
    <w:rsid w:val="009206A4"/>
    <w:rsid w:val="009211DD"/>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610A"/>
    <w:rsid w:val="00966186"/>
    <w:rsid w:val="00966525"/>
    <w:rsid w:val="0096756E"/>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87"/>
    <w:rsid w:val="009738D1"/>
    <w:rsid w:val="00974DC5"/>
    <w:rsid w:val="00975DB9"/>
    <w:rsid w:val="00976034"/>
    <w:rsid w:val="00976E48"/>
    <w:rsid w:val="009779AE"/>
    <w:rsid w:val="00977D00"/>
    <w:rsid w:val="00977E14"/>
    <w:rsid w:val="00980694"/>
    <w:rsid w:val="009808EF"/>
    <w:rsid w:val="0098096E"/>
    <w:rsid w:val="00980EBA"/>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D5D"/>
    <w:rsid w:val="009C2DD2"/>
    <w:rsid w:val="009C357D"/>
    <w:rsid w:val="009C38DD"/>
    <w:rsid w:val="009C3AD7"/>
    <w:rsid w:val="009C3BD9"/>
    <w:rsid w:val="009C3D52"/>
    <w:rsid w:val="009C46E7"/>
    <w:rsid w:val="009C4EB2"/>
    <w:rsid w:val="009C51D5"/>
    <w:rsid w:val="009C56FA"/>
    <w:rsid w:val="009C57B6"/>
    <w:rsid w:val="009C5B86"/>
    <w:rsid w:val="009C6173"/>
    <w:rsid w:val="009C6B52"/>
    <w:rsid w:val="009C7119"/>
    <w:rsid w:val="009C760A"/>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444"/>
    <w:rsid w:val="009E4C48"/>
    <w:rsid w:val="009E5589"/>
    <w:rsid w:val="009E5AF5"/>
    <w:rsid w:val="009E5CBA"/>
    <w:rsid w:val="009E627D"/>
    <w:rsid w:val="009E6EEE"/>
    <w:rsid w:val="009E7285"/>
    <w:rsid w:val="009E74F5"/>
    <w:rsid w:val="009E7611"/>
    <w:rsid w:val="009E7A21"/>
    <w:rsid w:val="009F0126"/>
    <w:rsid w:val="009F02B1"/>
    <w:rsid w:val="009F050F"/>
    <w:rsid w:val="009F09C1"/>
    <w:rsid w:val="009F0AFD"/>
    <w:rsid w:val="009F0F46"/>
    <w:rsid w:val="009F1785"/>
    <w:rsid w:val="009F193B"/>
    <w:rsid w:val="009F2B6A"/>
    <w:rsid w:val="009F3D87"/>
    <w:rsid w:val="009F4CFF"/>
    <w:rsid w:val="009F5A15"/>
    <w:rsid w:val="009F6437"/>
    <w:rsid w:val="009F7762"/>
    <w:rsid w:val="009F77D3"/>
    <w:rsid w:val="009F78C2"/>
    <w:rsid w:val="009F7D66"/>
    <w:rsid w:val="00A00F75"/>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729F"/>
    <w:rsid w:val="00A17410"/>
    <w:rsid w:val="00A2024B"/>
    <w:rsid w:val="00A20D44"/>
    <w:rsid w:val="00A2186C"/>
    <w:rsid w:val="00A21C59"/>
    <w:rsid w:val="00A22CD3"/>
    <w:rsid w:val="00A22DFE"/>
    <w:rsid w:val="00A23174"/>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7D2"/>
    <w:rsid w:val="00A65AE8"/>
    <w:rsid w:val="00A65CD4"/>
    <w:rsid w:val="00A662EC"/>
    <w:rsid w:val="00A66510"/>
    <w:rsid w:val="00A66719"/>
    <w:rsid w:val="00A66AE9"/>
    <w:rsid w:val="00A67187"/>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87FF6"/>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26"/>
    <w:rsid w:val="00AC1C80"/>
    <w:rsid w:val="00AC1F85"/>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227"/>
    <w:rsid w:val="00AD18C6"/>
    <w:rsid w:val="00AD20CE"/>
    <w:rsid w:val="00AD226B"/>
    <w:rsid w:val="00AD2A64"/>
    <w:rsid w:val="00AD3162"/>
    <w:rsid w:val="00AD3CAD"/>
    <w:rsid w:val="00AD4C92"/>
    <w:rsid w:val="00AD4E15"/>
    <w:rsid w:val="00AD5126"/>
    <w:rsid w:val="00AD5859"/>
    <w:rsid w:val="00AD5D2D"/>
    <w:rsid w:val="00AD5F18"/>
    <w:rsid w:val="00AD60D3"/>
    <w:rsid w:val="00AD6580"/>
    <w:rsid w:val="00AD6631"/>
    <w:rsid w:val="00AD6920"/>
    <w:rsid w:val="00AD6B33"/>
    <w:rsid w:val="00AD6C8E"/>
    <w:rsid w:val="00AD7033"/>
    <w:rsid w:val="00AD7992"/>
    <w:rsid w:val="00AD7AFE"/>
    <w:rsid w:val="00AD7EFE"/>
    <w:rsid w:val="00AE0009"/>
    <w:rsid w:val="00AE0569"/>
    <w:rsid w:val="00AE2227"/>
    <w:rsid w:val="00AE29C9"/>
    <w:rsid w:val="00AE2A3B"/>
    <w:rsid w:val="00AE2B4E"/>
    <w:rsid w:val="00AE2E23"/>
    <w:rsid w:val="00AE2E7D"/>
    <w:rsid w:val="00AE3BDD"/>
    <w:rsid w:val="00AE3F89"/>
    <w:rsid w:val="00AE4244"/>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DF5"/>
    <w:rsid w:val="00B12F00"/>
    <w:rsid w:val="00B13CF8"/>
    <w:rsid w:val="00B14F9D"/>
    <w:rsid w:val="00B1513F"/>
    <w:rsid w:val="00B15201"/>
    <w:rsid w:val="00B157F6"/>
    <w:rsid w:val="00B158B2"/>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7B69"/>
    <w:rsid w:val="00B3000E"/>
    <w:rsid w:val="00B304F9"/>
    <w:rsid w:val="00B30738"/>
    <w:rsid w:val="00B30BE3"/>
    <w:rsid w:val="00B313CD"/>
    <w:rsid w:val="00B31B31"/>
    <w:rsid w:val="00B31C46"/>
    <w:rsid w:val="00B31EE1"/>
    <w:rsid w:val="00B31FBE"/>
    <w:rsid w:val="00B32677"/>
    <w:rsid w:val="00B34B83"/>
    <w:rsid w:val="00B34D47"/>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3347"/>
    <w:rsid w:val="00B435DA"/>
    <w:rsid w:val="00B43E31"/>
    <w:rsid w:val="00B43F99"/>
    <w:rsid w:val="00B443A3"/>
    <w:rsid w:val="00B449A9"/>
    <w:rsid w:val="00B44A60"/>
    <w:rsid w:val="00B44FEF"/>
    <w:rsid w:val="00B4501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44D"/>
    <w:rsid w:val="00B72521"/>
    <w:rsid w:val="00B7267A"/>
    <w:rsid w:val="00B72F96"/>
    <w:rsid w:val="00B73176"/>
    <w:rsid w:val="00B73286"/>
    <w:rsid w:val="00B73AA5"/>
    <w:rsid w:val="00B73B8A"/>
    <w:rsid w:val="00B74751"/>
    <w:rsid w:val="00B75E12"/>
    <w:rsid w:val="00B760F4"/>
    <w:rsid w:val="00B764A7"/>
    <w:rsid w:val="00B765C6"/>
    <w:rsid w:val="00B76C45"/>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6C1"/>
    <w:rsid w:val="00B8799E"/>
    <w:rsid w:val="00B87CAE"/>
    <w:rsid w:val="00B87EF1"/>
    <w:rsid w:val="00B90922"/>
    <w:rsid w:val="00B91D73"/>
    <w:rsid w:val="00B92255"/>
    <w:rsid w:val="00B925D5"/>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AD9"/>
    <w:rsid w:val="00BA0FF7"/>
    <w:rsid w:val="00BA2066"/>
    <w:rsid w:val="00BA2794"/>
    <w:rsid w:val="00BA3E3E"/>
    <w:rsid w:val="00BA4BE0"/>
    <w:rsid w:val="00BA546D"/>
    <w:rsid w:val="00BA6367"/>
    <w:rsid w:val="00BA668E"/>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401B"/>
    <w:rsid w:val="00BC5111"/>
    <w:rsid w:val="00BC5AA7"/>
    <w:rsid w:val="00BC613B"/>
    <w:rsid w:val="00BC655E"/>
    <w:rsid w:val="00BC6642"/>
    <w:rsid w:val="00BC6E7E"/>
    <w:rsid w:val="00BC78C6"/>
    <w:rsid w:val="00BC7D6B"/>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C6B"/>
    <w:rsid w:val="00BF00E1"/>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C69"/>
    <w:rsid w:val="00C1200B"/>
    <w:rsid w:val="00C123F8"/>
    <w:rsid w:val="00C12A26"/>
    <w:rsid w:val="00C12D40"/>
    <w:rsid w:val="00C12E10"/>
    <w:rsid w:val="00C12EBA"/>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06B"/>
    <w:rsid w:val="00C23D53"/>
    <w:rsid w:val="00C23E31"/>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EA6"/>
    <w:rsid w:val="00C40733"/>
    <w:rsid w:val="00C408D7"/>
    <w:rsid w:val="00C40A25"/>
    <w:rsid w:val="00C40B42"/>
    <w:rsid w:val="00C41B25"/>
    <w:rsid w:val="00C41C6D"/>
    <w:rsid w:val="00C41EA0"/>
    <w:rsid w:val="00C41F77"/>
    <w:rsid w:val="00C42032"/>
    <w:rsid w:val="00C42AE8"/>
    <w:rsid w:val="00C42B20"/>
    <w:rsid w:val="00C43875"/>
    <w:rsid w:val="00C43FF0"/>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FAF"/>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20B"/>
    <w:rsid w:val="00C7336E"/>
    <w:rsid w:val="00C73A32"/>
    <w:rsid w:val="00C73C4F"/>
    <w:rsid w:val="00C743B0"/>
    <w:rsid w:val="00C743B1"/>
    <w:rsid w:val="00C7449E"/>
    <w:rsid w:val="00C7488B"/>
    <w:rsid w:val="00C749A2"/>
    <w:rsid w:val="00C74B87"/>
    <w:rsid w:val="00C74E4F"/>
    <w:rsid w:val="00C75844"/>
    <w:rsid w:val="00C75949"/>
    <w:rsid w:val="00C765EF"/>
    <w:rsid w:val="00C76E32"/>
    <w:rsid w:val="00C7701D"/>
    <w:rsid w:val="00C77675"/>
    <w:rsid w:val="00C778EA"/>
    <w:rsid w:val="00C77C25"/>
    <w:rsid w:val="00C77EA1"/>
    <w:rsid w:val="00C8069B"/>
    <w:rsid w:val="00C80C7A"/>
    <w:rsid w:val="00C80E46"/>
    <w:rsid w:val="00C81246"/>
    <w:rsid w:val="00C816B6"/>
    <w:rsid w:val="00C81A7E"/>
    <w:rsid w:val="00C82521"/>
    <w:rsid w:val="00C8287D"/>
    <w:rsid w:val="00C82963"/>
    <w:rsid w:val="00C83EBA"/>
    <w:rsid w:val="00C84A35"/>
    <w:rsid w:val="00C84BFA"/>
    <w:rsid w:val="00C85F51"/>
    <w:rsid w:val="00C869B0"/>
    <w:rsid w:val="00C86F5B"/>
    <w:rsid w:val="00C8784D"/>
    <w:rsid w:val="00C9038D"/>
    <w:rsid w:val="00C907AB"/>
    <w:rsid w:val="00C90A9C"/>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42B0"/>
    <w:rsid w:val="00CB4D4B"/>
    <w:rsid w:val="00CB4DC2"/>
    <w:rsid w:val="00CB4F67"/>
    <w:rsid w:val="00CB5130"/>
    <w:rsid w:val="00CB518E"/>
    <w:rsid w:val="00CB5662"/>
    <w:rsid w:val="00CB615A"/>
    <w:rsid w:val="00CB64CB"/>
    <w:rsid w:val="00CB70DE"/>
    <w:rsid w:val="00CB717C"/>
    <w:rsid w:val="00CB7A2D"/>
    <w:rsid w:val="00CC0018"/>
    <w:rsid w:val="00CC01AD"/>
    <w:rsid w:val="00CC06F4"/>
    <w:rsid w:val="00CC0B75"/>
    <w:rsid w:val="00CC19A9"/>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21A"/>
    <w:rsid w:val="00D105DB"/>
    <w:rsid w:val="00D10919"/>
    <w:rsid w:val="00D110AE"/>
    <w:rsid w:val="00D11359"/>
    <w:rsid w:val="00D11641"/>
    <w:rsid w:val="00D11E76"/>
    <w:rsid w:val="00D11FC2"/>
    <w:rsid w:val="00D12557"/>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219D"/>
    <w:rsid w:val="00D32E50"/>
    <w:rsid w:val="00D32EDB"/>
    <w:rsid w:val="00D33189"/>
    <w:rsid w:val="00D33F1D"/>
    <w:rsid w:val="00D33F7C"/>
    <w:rsid w:val="00D349CF"/>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6C80"/>
    <w:rsid w:val="00D67582"/>
    <w:rsid w:val="00D6778F"/>
    <w:rsid w:val="00D67A8F"/>
    <w:rsid w:val="00D70678"/>
    <w:rsid w:val="00D70A08"/>
    <w:rsid w:val="00D70C56"/>
    <w:rsid w:val="00D71078"/>
    <w:rsid w:val="00D712E0"/>
    <w:rsid w:val="00D71834"/>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978"/>
    <w:rsid w:val="00DE5C38"/>
    <w:rsid w:val="00DE640B"/>
    <w:rsid w:val="00DE6DA4"/>
    <w:rsid w:val="00DE7B44"/>
    <w:rsid w:val="00DE7BE6"/>
    <w:rsid w:val="00DE7E37"/>
    <w:rsid w:val="00DE7E98"/>
    <w:rsid w:val="00DE7F7A"/>
    <w:rsid w:val="00DF0186"/>
    <w:rsid w:val="00DF032F"/>
    <w:rsid w:val="00DF0AC6"/>
    <w:rsid w:val="00DF0F31"/>
    <w:rsid w:val="00DF146E"/>
    <w:rsid w:val="00DF15B6"/>
    <w:rsid w:val="00DF3DD5"/>
    <w:rsid w:val="00DF42F3"/>
    <w:rsid w:val="00DF574A"/>
    <w:rsid w:val="00DF63EF"/>
    <w:rsid w:val="00DF70DF"/>
    <w:rsid w:val="00DF7649"/>
    <w:rsid w:val="00DF76D5"/>
    <w:rsid w:val="00DF782F"/>
    <w:rsid w:val="00E00405"/>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783"/>
    <w:rsid w:val="00E458D9"/>
    <w:rsid w:val="00E4590D"/>
    <w:rsid w:val="00E45A45"/>
    <w:rsid w:val="00E45C30"/>
    <w:rsid w:val="00E45D83"/>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6E"/>
    <w:rsid w:val="00E60EE5"/>
    <w:rsid w:val="00E60FD6"/>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236D"/>
    <w:rsid w:val="00E83D41"/>
    <w:rsid w:val="00E83F53"/>
    <w:rsid w:val="00E840B2"/>
    <w:rsid w:val="00E85201"/>
    <w:rsid w:val="00E85307"/>
    <w:rsid w:val="00E85C2C"/>
    <w:rsid w:val="00E85D04"/>
    <w:rsid w:val="00E861C8"/>
    <w:rsid w:val="00E8659C"/>
    <w:rsid w:val="00E87572"/>
    <w:rsid w:val="00E9088E"/>
    <w:rsid w:val="00E9244C"/>
    <w:rsid w:val="00E92758"/>
    <w:rsid w:val="00E92E8B"/>
    <w:rsid w:val="00E933B6"/>
    <w:rsid w:val="00E937BC"/>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F9E"/>
    <w:rsid w:val="00EB79BE"/>
    <w:rsid w:val="00EB7E44"/>
    <w:rsid w:val="00EC0153"/>
    <w:rsid w:val="00EC0496"/>
    <w:rsid w:val="00EC06BB"/>
    <w:rsid w:val="00EC0BE6"/>
    <w:rsid w:val="00EC146F"/>
    <w:rsid w:val="00EC16A8"/>
    <w:rsid w:val="00EC1833"/>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C3"/>
    <w:rsid w:val="00EF25CA"/>
    <w:rsid w:val="00EF272B"/>
    <w:rsid w:val="00EF3325"/>
    <w:rsid w:val="00EF3390"/>
    <w:rsid w:val="00EF3499"/>
    <w:rsid w:val="00EF47C7"/>
    <w:rsid w:val="00EF4858"/>
    <w:rsid w:val="00EF5A32"/>
    <w:rsid w:val="00EF5B80"/>
    <w:rsid w:val="00EF6954"/>
    <w:rsid w:val="00F00766"/>
    <w:rsid w:val="00F00BEB"/>
    <w:rsid w:val="00F00CE2"/>
    <w:rsid w:val="00F00D60"/>
    <w:rsid w:val="00F01450"/>
    <w:rsid w:val="00F01535"/>
    <w:rsid w:val="00F02FBE"/>
    <w:rsid w:val="00F03143"/>
    <w:rsid w:val="00F033EF"/>
    <w:rsid w:val="00F045A5"/>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B4"/>
    <w:rsid w:val="00F15F33"/>
    <w:rsid w:val="00F1672E"/>
    <w:rsid w:val="00F16BAF"/>
    <w:rsid w:val="00F16D27"/>
    <w:rsid w:val="00F17876"/>
    <w:rsid w:val="00F179C6"/>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F4"/>
    <w:rsid w:val="00F962BA"/>
    <w:rsid w:val="00F965F2"/>
    <w:rsid w:val="00F96A69"/>
    <w:rsid w:val="00F971DA"/>
    <w:rsid w:val="00F97611"/>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6EED"/>
    <w:pPr>
      <w:spacing w:after="160" w:line="259" w:lineRule="auto"/>
    </w:pPr>
    <w:rPr>
      <w:rFonts w:asciiTheme="minorHAnsi" w:eastAsiaTheme="minorEastAsia" w:hAnsiTheme="minorHAnsi" w:cstheme="minorBidi"/>
      <w:sz w:val="22"/>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6B6E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6B6EED"/>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CaptionTable"/>
    <w:basedOn w:val="a"/>
    <w:next w:val="a"/>
    <w:link w:val="af2"/>
    <w:qFormat/>
    <w:rsid w:val="00DB3A47"/>
    <w:pPr>
      <w:spacing w:before="120" w:after="120"/>
    </w:pPr>
    <w:rPr>
      <w:b/>
      <w:sz w:val="20"/>
      <w:szCs w:val="20"/>
      <w:lang w:val="x-none" w:eastAsia="x-none"/>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w:basedOn w:val="a"/>
    <w:link w:val="af6"/>
    <w:uiPriority w:val="34"/>
    <w:qFormat/>
    <w:rsid w:val="007C2235"/>
    <w:pPr>
      <w:ind w:left="720"/>
      <w:contextualSpacing/>
    </w:pPr>
    <w:rPr>
      <w:lang w:eastAsia="en-US"/>
    </w:rPr>
  </w:style>
  <w:style w:type="table" w:styleId="af7">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8.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8.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10.bin"/><Relationship Id="rId32" Type="http://schemas.openxmlformats.org/officeDocument/2006/relationships/image" Target="media/image11.e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image" Target="media/image9.wmf"/><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4.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oleObject" Target="embeddings/oleObject12.bin"/><Relationship Id="rId30" Type="http://schemas.openxmlformats.org/officeDocument/2006/relationships/image" Target="media/image10.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7843C-41FA-44EA-9C6E-B7D1CAB43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909</Words>
  <Characters>5187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2018-08-06T03:11:00Z</dcterms:created>
  <dcterms:modified xsi:type="dcterms:W3CDTF">2018-11-02T07:47:00Z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